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封丘县审计局</w:t>
      </w:r>
    </w:p>
    <w:p>
      <w:pPr>
        <w:jc w:val="center"/>
        <w:rPr>
          <w:rFonts w:ascii="黑体" w:hAnsi="黑体" w:eastAsia="黑体" w:cs="黑体"/>
          <w:sz w:val="52"/>
          <w:szCs w:val="52"/>
        </w:rPr>
      </w:pPr>
      <w:r>
        <w:rPr>
          <w:rFonts w:hint="eastAsia" w:ascii="黑体" w:hAnsi="黑体" w:eastAsia="黑体" w:cs="黑体"/>
          <w:sz w:val="52"/>
          <w:szCs w:val="52"/>
        </w:rPr>
        <w:t>2017年度部门决算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rPr>
        <w:t>二〇一八年十月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封丘县审计局概况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2017年度部门决算表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2017年度部门决算情况说明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lang w:val="en-US" w:eastAsia="zh-CN"/>
        </w:rPr>
        <w:t>十三、其他重要事项的情况说明</w:t>
      </w:r>
      <w:bookmarkStart w:id="0" w:name="_GoBack"/>
      <w:bookmarkEnd w:id="0"/>
    </w:p>
    <w:p>
      <w:pPr>
        <w:jc w:val="left"/>
        <w:rPr>
          <w:rFonts w:ascii="黑体" w:hAnsi="黑体" w:eastAsia="黑体" w:cs="黑体"/>
          <w:sz w:val="32"/>
          <w:szCs w:val="32"/>
        </w:rPr>
        <w:sectPr>
          <w:footerReference r:id="rId3" w:type="default"/>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rPr>
          <w:rFonts w:ascii="黑体" w:hAnsi="宋体" w:eastAsia="黑体" w:cs="宋体"/>
          <w:kern w:val="0"/>
          <w:sz w:val="28"/>
          <w:szCs w:val="28"/>
        </w:rPr>
      </w:pPr>
      <w:r>
        <w:rPr>
          <w:rFonts w:hint="eastAsia" w:ascii="黑体" w:hAnsi="黑体" w:eastAsia="黑体" w:cs="黑体"/>
          <w:sz w:val="48"/>
          <w:szCs w:val="48"/>
        </w:rPr>
        <w:t>第一部分　　封丘县审计局概况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一、部门职责</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管全县审计工作。负责对全县财政收支和法律、法规规定属于审计监督范围的财务收支的真实、合法和效益进行审计监督，维护财政经济秩序，提高财政资金使用效益，促进廉政建设，保障国民经济和社会健康发展。对审计、专项审计调查和核查社会审计机构相关审计报告的结果承担责任，负有督促被审计单位整改的责任。</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制定全县审计业务方面的规范性文件，制定审计规章制度并监督执行，制定并组织实施审计工作发展规划和专业领域审计工作规划，制定并组织实施年度审计计划。对直接审计、调查和核查的事项依法进行审计评价，作出审计决定或提出审计建议。</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向县政府提交年度县级预算执行和其他财政收支的审计结果报告。受县政府委托向县人大常委会提交县级预算执行和其他财政收支情况的审计工作报告、审计发现问题的纠正和处理结果报告。向县政府报告其他事项专项审计调查情况及结果。依法向社会公布审计结果。向县政府有关部门和各乡（镇）政府通报审计情况和审计结果。</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（四）直接审计下列事项，出具审计报告，在法定职权范围内作出审计决定或向有关主管机关提出处理处罚建议：</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1.县级预算执行情况和其他财政收支，县直各部门（含所属单位）预算执行情况、决算和其他财政收支。</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2.各乡（镇）政府预算执行情况、决算和其他财政收支，县级财政转移支付资金。</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3.使用县级财政资金的事业单位和资产来源属于国家拨款或者社会捐赠、资助的社会团体的财务收支。</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4.县级投资和以县级投资为主的建设项目的预算执行情况和决算。</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5.县属国有企业和金融机构、县政府规定的县属国有资本占控股或主导地位的企业和金融机构的资产、负债和损益。</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6.县政府和各乡（镇）政府管理，其他单位受县政府及其部门委托管理的社会保障基金、社会捐赠资金及其他有关基金、资金的财务收支。</w:t>
      </w:r>
    </w:p>
    <w:p>
      <w:pPr>
        <w:pStyle w:val="2"/>
        <w:spacing w:line="600"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7.县委县政府直接管理的各类经济功能区财政财务收支。</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8.国际组织和外国政府援助、贷款项目的财务收支。      </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9.法律、行政法规和地方性法规规定应由县级审计机构审计的其他事项。</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 按规定对县管领导干部及依法属于审计监督对象的其他单位主要负责人实施经济责任审计。</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（六）负责对财经法律、法规、规章、政策和宏观调控措施执行情况，财政预算管理或国有资产管理使用等与县级财政收支有关的特定事项进行专项审计调查。</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（七）依法检查审计决定执行情况，督促纠正和处理审计发现的问题，依法办理被审计单位对审计决定提请行政复议、行政诉讼或县政府裁决的有关事项。协助有关部门查处相关重大案件。</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（八）指导和监督依法属于审计监督对象的单位的内部审计工作，核查社会审计机构对依法属于审计监督对象的单位出具的相关审计报告。</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（九）组织审计县政府驻外非经营性机构的财务收支，依法通过适当方式组织审计县属国有企业和金融机构的境外资产、负债和损益。</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（十）在全县审计领域指导和推广信息技术应用，参与建设国家审计信息系统。</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（十一）承办县政府交办的其他事项。</w:t>
      </w: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封丘县审计局属于行政机关，隶属于封丘县人民政府，办公地址位于封丘县民主路108号县政府院内。三定方案编制人数36人，现实有人数60人，其中：在职人员48人，退休人员12人。局机关内设办公室、法规股、信息股、行政事业审计股、商粮贸农林水审计股、财政金融审计股、社会保障资金审计股、经济责任审计联席会议办公室8个股室及封丘县政府投资项目审计中心1个事业单位。</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封丘县审计局2017年部门决算为本级决算。</w:t>
      </w:r>
    </w:p>
    <w:p>
      <w:pPr>
        <w:widowControl/>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第二部分</w:t>
      </w:r>
    </w:p>
    <w:p>
      <w:pPr>
        <w:jc w:val="center"/>
        <w:rPr>
          <w:rFonts w:ascii="黑体" w:hAnsi="黑体" w:eastAsia="黑体" w:cs="黑体"/>
          <w:sz w:val="48"/>
          <w:szCs w:val="48"/>
        </w:rPr>
      </w:pPr>
      <w:r>
        <w:rPr>
          <w:rFonts w:hint="eastAsia" w:ascii="黑体" w:hAnsi="黑体" w:eastAsia="黑体" w:cs="黑体"/>
          <w:sz w:val="48"/>
          <w:szCs w:val="48"/>
        </w:rPr>
        <w:t>2017年度部门决算表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9"/>
        <w:tblW w:w="14481" w:type="dxa"/>
        <w:tblInd w:w="93" w:type="dxa"/>
        <w:tblLayout w:type="fixed"/>
        <w:tblCellMar>
          <w:top w:w="0" w:type="dxa"/>
          <w:left w:w="108" w:type="dxa"/>
          <w:bottom w:w="0" w:type="dxa"/>
          <w:right w:w="108" w:type="dxa"/>
        </w:tblCellMar>
      </w:tblPr>
      <w:tblGrid>
        <w:gridCol w:w="4886"/>
        <w:gridCol w:w="758"/>
        <w:gridCol w:w="1113"/>
        <w:gridCol w:w="4660"/>
        <w:gridCol w:w="758"/>
        <w:gridCol w:w="2306"/>
      </w:tblGrid>
      <w:tr>
        <w:tblPrEx>
          <w:tblLayout w:type="fixed"/>
          <w:tblCellMar>
            <w:top w:w="0" w:type="dxa"/>
            <w:left w:w="108" w:type="dxa"/>
            <w:bottom w:w="0" w:type="dxa"/>
            <w:right w:w="108" w:type="dxa"/>
          </w:tblCellMar>
        </w:tblPrEx>
        <w:trPr>
          <w:trHeight w:val="384" w:hRule="atLeast"/>
        </w:trPr>
        <w:tc>
          <w:tcPr>
            <w:tcW w:w="14481" w:type="dxa"/>
            <w:gridSpan w:val="6"/>
            <w:tcBorders>
              <w:top w:val="nil"/>
              <w:left w:val="nil"/>
              <w:bottom w:val="nil"/>
              <w:right w:val="nil"/>
            </w:tcBorders>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收入支出决算总表</w:t>
            </w:r>
          </w:p>
        </w:tc>
      </w:tr>
      <w:tr>
        <w:tblPrEx>
          <w:tblLayout w:type="fixed"/>
          <w:tblCellMar>
            <w:top w:w="0" w:type="dxa"/>
            <w:left w:w="108" w:type="dxa"/>
            <w:bottom w:w="0" w:type="dxa"/>
            <w:right w:w="108" w:type="dxa"/>
          </w:tblCellMar>
        </w:tblPrEx>
        <w:trPr>
          <w:trHeight w:val="264" w:hRule="atLeast"/>
        </w:trPr>
        <w:tc>
          <w:tcPr>
            <w:tcW w:w="488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6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6"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Layout w:type="fixed"/>
          <w:tblCellMar>
            <w:top w:w="0" w:type="dxa"/>
            <w:left w:w="108" w:type="dxa"/>
            <w:bottom w:w="0" w:type="dxa"/>
            <w:right w:w="108" w:type="dxa"/>
          </w:tblCellMar>
        </w:tblPrEx>
        <w:trPr>
          <w:trHeight w:val="264" w:hRule="atLeast"/>
        </w:trPr>
        <w:tc>
          <w:tcPr>
            <w:tcW w:w="4886" w:type="dxa"/>
            <w:tcBorders>
              <w:top w:val="nil"/>
              <w:left w:val="nil"/>
              <w:bottom w:val="nil"/>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部门：河南省新乡市封丘县审计局</w:t>
            </w:r>
          </w:p>
        </w:tc>
        <w:tc>
          <w:tcPr>
            <w:tcW w:w="7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6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6"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9" w:hRule="atLeast"/>
        </w:trPr>
        <w:tc>
          <w:tcPr>
            <w:tcW w:w="67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收入</w:t>
            </w:r>
          </w:p>
        </w:tc>
        <w:tc>
          <w:tcPr>
            <w:tcW w:w="772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1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4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23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1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23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一、财政拨款收入</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538.94</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493.74</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二、上级补助收入</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三、事业收入</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四、经营收入</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五、附属单位上缴收入</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六、其他收入</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七、文化体育与传媒支出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33.04</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九、医疗卫生与计划生育支出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十四、资源勘探信息等支出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十八、国土海洋气象等支出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二十一、其他支出</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538.95</w:t>
            </w:r>
          </w:p>
        </w:tc>
        <w:tc>
          <w:tcPr>
            <w:tcW w:w="4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538.71</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用事业基金弥补收支差额</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289.94</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年末结转和结余</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290.18</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9" w:hRule="atLeast"/>
        </w:trPr>
        <w:tc>
          <w:tcPr>
            <w:tcW w:w="48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总计</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1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828.89</w:t>
            </w:r>
          </w:p>
        </w:tc>
        <w:tc>
          <w:tcPr>
            <w:tcW w:w="4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总计</w:t>
            </w:r>
          </w:p>
        </w:tc>
        <w:tc>
          <w:tcPr>
            <w:tcW w:w="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23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828.89</w:t>
            </w:r>
          </w:p>
        </w:tc>
      </w:tr>
      <w:tr>
        <w:tblPrEx>
          <w:tblLayout w:type="fixed"/>
          <w:tblCellMar>
            <w:top w:w="0" w:type="dxa"/>
            <w:left w:w="108" w:type="dxa"/>
            <w:bottom w:w="0" w:type="dxa"/>
            <w:right w:w="108" w:type="dxa"/>
          </w:tblCellMar>
        </w:tblPrEx>
        <w:trPr>
          <w:trHeight w:val="309" w:hRule="atLeast"/>
        </w:trPr>
        <w:tc>
          <w:tcPr>
            <w:tcW w:w="14481" w:type="dxa"/>
            <w:gridSpan w:val="6"/>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注：本表反映部门本年度的总收支和年末结转结余情况。</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9"/>
        <w:tblW w:w="13550" w:type="dxa"/>
        <w:tblInd w:w="93" w:type="dxa"/>
        <w:tblLayout w:type="fixed"/>
        <w:tblCellMar>
          <w:top w:w="0" w:type="dxa"/>
          <w:left w:w="108" w:type="dxa"/>
          <w:bottom w:w="0" w:type="dxa"/>
          <w:right w:w="108" w:type="dxa"/>
        </w:tblCellMar>
      </w:tblPr>
      <w:tblGrid>
        <w:gridCol w:w="400"/>
        <w:gridCol w:w="316"/>
        <w:gridCol w:w="271"/>
        <w:gridCol w:w="4765"/>
        <w:gridCol w:w="1350"/>
        <w:gridCol w:w="1413"/>
        <w:gridCol w:w="1184"/>
        <w:gridCol w:w="931"/>
        <w:gridCol w:w="931"/>
        <w:gridCol w:w="1007"/>
        <w:gridCol w:w="982"/>
      </w:tblGrid>
      <w:tr>
        <w:tblPrEx>
          <w:tblLayout w:type="fixed"/>
          <w:tblCellMar>
            <w:top w:w="0" w:type="dxa"/>
            <w:left w:w="108" w:type="dxa"/>
            <w:bottom w:w="0" w:type="dxa"/>
            <w:right w:w="108" w:type="dxa"/>
          </w:tblCellMar>
        </w:tblPrEx>
        <w:trPr>
          <w:trHeight w:val="384" w:hRule="atLeast"/>
        </w:trPr>
        <w:tc>
          <w:tcPr>
            <w:tcW w:w="13550" w:type="dxa"/>
            <w:gridSpan w:val="11"/>
            <w:tcBorders>
              <w:top w:val="nil"/>
              <w:left w:val="nil"/>
              <w:bottom w:val="nil"/>
              <w:right w:val="nil"/>
            </w:tcBorders>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收入决算表</w:t>
            </w:r>
          </w:p>
        </w:tc>
      </w:tr>
      <w:tr>
        <w:tblPrEx>
          <w:tblLayout w:type="fixed"/>
          <w:tblCellMar>
            <w:top w:w="0" w:type="dxa"/>
            <w:left w:w="108" w:type="dxa"/>
            <w:bottom w:w="0" w:type="dxa"/>
            <w:right w:w="108" w:type="dxa"/>
          </w:tblCellMar>
        </w:tblPrEx>
        <w:trPr>
          <w:trHeight w:val="264" w:hRule="atLeast"/>
        </w:trPr>
        <w:tc>
          <w:tcPr>
            <w:tcW w:w="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3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3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89" w:type="dxa"/>
            <w:gridSpan w:val="2"/>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Layout w:type="fixed"/>
          <w:tblCellMar>
            <w:top w:w="0" w:type="dxa"/>
            <w:left w:w="108" w:type="dxa"/>
            <w:bottom w:w="0" w:type="dxa"/>
            <w:right w:w="108" w:type="dxa"/>
          </w:tblCellMar>
        </w:tblPrEx>
        <w:trPr>
          <w:trHeight w:val="264" w:hRule="atLeast"/>
        </w:trPr>
        <w:tc>
          <w:tcPr>
            <w:tcW w:w="5752" w:type="dxa"/>
            <w:gridSpan w:val="4"/>
            <w:tcBorders>
              <w:top w:val="nil"/>
              <w:left w:val="nil"/>
              <w:bottom w:val="single" w:color="000000" w:sz="4" w:space="0"/>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部门：河南省新乡市封丘县审计局</w:t>
            </w:r>
          </w:p>
        </w:tc>
        <w:tc>
          <w:tcPr>
            <w:tcW w:w="13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3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3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89" w:type="dxa"/>
            <w:gridSpan w:val="2"/>
            <w:tcBorders>
              <w:top w:val="nil"/>
              <w:left w:val="nil"/>
              <w:bottom w:val="single" w:color="000000" w:sz="4" w:space="0"/>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9" w:hRule="atLeast"/>
        </w:trPr>
        <w:tc>
          <w:tcPr>
            <w:tcW w:w="57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35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1413"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118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93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93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100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98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Layout w:type="fixed"/>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76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413"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18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3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3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007"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8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76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413"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18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3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3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007"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8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76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413"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18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3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3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007"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8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09" w:hRule="atLeast"/>
        </w:trPr>
        <w:tc>
          <w:tcPr>
            <w:tcW w:w="5752"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4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18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93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93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0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Layout w:type="fixed"/>
          <w:tblCellMar>
            <w:top w:w="0" w:type="dxa"/>
            <w:left w:w="108" w:type="dxa"/>
            <w:bottom w:w="0" w:type="dxa"/>
            <w:right w:w="108" w:type="dxa"/>
          </w:tblCellMar>
        </w:tblPrEx>
        <w:trPr>
          <w:trHeight w:val="309" w:hRule="atLeast"/>
        </w:trPr>
        <w:tc>
          <w:tcPr>
            <w:tcW w:w="5752"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538.95</w:t>
            </w:r>
          </w:p>
        </w:tc>
        <w:tc>
          <w:tcPr>
            <w:tcW w:w="14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538.94</w:t>
            </w:r>
          </w:p>
        </w:tc>
        <w:tc>
          <w:tcPr>
            <w:tcW w:w="11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9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9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0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9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0.01</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493.98</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493.97</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20108</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审计事务</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493.98</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493.97</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2010801</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343.98</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343.97</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2010804</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审计业务</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150.00</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150.00</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33.04</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33.04</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32.19</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32.19</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32.19</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32.19</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其他社会保障和就业支出</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0.85</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0.85</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其他社会保障和就业支出</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0.85</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0.85</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医疗卫生与计划生育支出</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213</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农林水支出</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21305</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扶贫</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2130599</w:t>
            </w:r>
          </w:p>
        </w:tc>
        <w:tc>
          <w:tcPr>
            <w:tcW w:w="47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其他扶贫支出</w:t>
            </w:r>
          </w:p>
        </w:tc>
        <w:tc>
          <w:tcPr>
            <w:tcW w:w="13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18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13550" w:type="dxa"/>
            <w:gridSpan w:val="11"/>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注：本表反映部门本年度取得的各项收入情况。</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9"/>
        <w:tblW w:w="14003" w:type="dxa"/>
        <w:tblInd w:w="0" w:type="dxa"/>
        <w:tblLayout w:type="fixed"/>
        <w:tblCellMar>
          <w:top w:w="15" w:type="dxa"/>
          <w:left w:w="15" w:type="dxa"/>
          <w:bottom w:w="15" w:type="dxa"/>
          <w:right w:w="15" w:type="dxa"/>
        </w:tblCellMar>
      </w:tblPr>
      <w:tblGrid>
        <w:gridCol w:w="331"/>
        <w:gridCol w:w="255"/>
        <w:gridCol w:w="236"/>
        <w:gridCol w:w="4864"/>
        <w:gridCol w:w="1468"/>
        <w:gridCol w:w="1481"/>
        <w:gridCol w:w="1054"/>
        <w:gridCol w:w="1248"/>
        <w:gridCol w:w="990"/>
        <w:gridCol w:w="1916"/>
        <w:gridCol w:w="160"/>
      </w:tblGrid>
      <w:tr>
        <w:tblPrEx>
          <w:tblLayout w:type="fixed"/>
          <w:tblCellMar>
            <w:top w:w="15" w:type="dxa"/>
            <w:left w:w="15" w:type="dxa"/>
            <w:bottom w:w="15" w:type="dxa"/>
            <w:right w:w="15" w:type="dxa"/>
          </w:tblCellMar>
        </w:tblPrEx>
        <w:trPr>
          <w:trHeight w:val="375" w:hRule="atLeast"/>
        </w:trPr>
        <w:tc>
          <w:tcPr>
            <w:tcW w:w="14003" w:type="dxa"/>
            <w:gridSpan w:val="11"/>
            <w:tcBorders>
              <w:right w:val="nil"/>
            </w:tcBorders>
            <w:vAlign w:val="center"/>
          </w:tcPr>
          <w:p>
            <w:pPr>
              <w:widowControl/>
              <w:jc w:val="center"/>
              <w:textAlignment w:val="center"/>
              <w:rPr>
                <w:rFonts w:ascii="黑体" w:hAnsi="宋体" w:eastAsia="黑体" w:cs="黑体"/>
                <w:color w:val="000000"/>
                <w:kern w:val="0"/>
                <w:sz w:val="30"/>
                <w:szCs w:val="30"/>
              </w:rPr>
            </w:pPr>
            <w:r>
              <w:rPr>
                <w:rFonts w:hint="eastAsia" w:ascii="黑体" w:hAnsi="宋体" w:eastAsia="黑体" w:cs="黑体"/>
                <w:color w:val="000000"/>
                <w:kern w:val="0"/>
                <w:sz w:val="30"/>
                <w:szCs w:val="30"/>
              </w:rPr>
              <w:t>支出决算表</w:t>
            </w:r>
          </w:p>
        </w:tc>
      </w:tr>
      <w:tr>
        <w:tblPrEx>
          <w:tblLayout w:type="fixed"/>
          <w:tblCellMar>
            <w:top w:w="0" w:type="dxa"/>
            <w:left w:w="108" w:type="dxa"/>
            <w:bottom w:w="0" w:type="dxa"/>
            <w:right w:w="108" w:type="dxa"/>
          </w:tblCellMar>
        </w:tblPrEx>
        <w:trPr>
          <w:gridAfter w:val="1"/>
          <w:wAfter w:w="160" w:type="dxa"/>
          <w:trHeight w:val="264" w:hRule="atLeast"/>
        </w:trPr>
        <w:tc>
          <w:tcPr>
            <w:tcW w:w="33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86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5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Layout w:type="fixed"/>
          <w:tblCellMar>
            <w:top w:w="0" w:type="dxa"/>
            <w:left w:w="108" w:type="dxa"/>
            <w:bottom w:w="0" w:type="dxa"/>
            <w:right w:w="108" w:type="dxa"/>
          </w:tblCellMar>
        </w:tblPrEx>
        <w:trPr>
          <w:gridAfter w:val="1"/>
          <w:wAfter w:w="160" w:type="dxa"/>
          <w:trHeight w:val="264" w:hRule="atLeast"/>
        </w:trPr>
        <w:tc>
          <w:tcPr>
            <w:tcW w:w="5686" w:type="dxa"/>
            <w:gridSpan w:val="4"/>
            <w:tcBorders>
              <w:top w:val="nil"/>
              <w:left w:val="nil"/>
              <w:bottom w:val="single" w:color="000000" w:sz="4" w:space="0"/>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部门：河南省新乡市封丘县审计局</w:t>
            </w:r>
          </w:p>
        </w:tc>
        <w:tc>
          <w:tcPr>
            <w:tcW w:w="14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5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1"/>
          <w:wAfter w:w="160" w:type="dxa"/>
          <w:trHeight w:val="309" w:hRule="atLeast"/>
        </w:trPr>
        <w:tc>
          <w:tcPr>
            <w:tcW w:w="56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46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148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05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124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99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191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blPrEx>
          <w:tblLayout w:type="fixed"/>
          <w:tblCellMar>
            <w:top w:w="0" w:type="dxa"/>
            <w:left w:w="108" w:type="dxa"/>
            <w:bottom w:w="0" w:type="dxa"/>
            <w:right w:w="108" w:type="dxa"/>
          </w:tblCellMar>
        </w:tblPrEx>
        <w:trPr>
          <w:gridAfter w:val="1"/>
          <w:wAfter w:w="160" w:type="dxa"/>
          <w:trHeight w:val="312" w:hRule="atLeast"/>
        </w:trPr>
        <w:tc>
          <w:tcPr>
            <w:tcW w:w="822"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86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46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48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05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9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916"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gridAfter w:val="1"/>
          <w:wAfter w:w="160" w:type="dxa"/>
          <w:trHeight w:val="312" w:hRule="atLeast"/>
        </w:trPr>
        <w:tc>
          <w:tcPr>
            <w:tcW w:w="82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86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46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48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05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9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916"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gridAfter w:val="1"/>
          <w:wAfter w:w="160" w:type="dxa"/>
          <w:trHeight w:val="312" w:hRule="atLeast"/>
        </w:trPr>
        <w:tc>
          <w:tcPr>
            <w:tcW w:w="82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86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46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48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05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9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916"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gridAfter w:val="1"/>
          <w:wAfter w:w="160" w:type="dxa"/>
          <w:trHeight w:val="309" w:hRule="atLeast"/>
        </w:trPr>
        <w:tc>
          <w:tcPr>
            <w:tcW w:w="5686"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4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0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9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Layout w:type="fixed"/>
          <w:tblCellMar>
            <w:top w:w="0" w:type="dxa"/>
            <w:left w:w="108" w:type="dxa"/>
            <w:bottom w:w="0" w:type="dxa"/>
            <w:right w:w="108" w:type="dxa"/>
          </w:tblCellMar>
        </w:tblPrEx>
        <w:trPr>
          <w:gridAfter w:val="1"/>
          <w:wAfter w:w="160" w:type="dxa"/>
          <w:trHeight w:val="309" w:hRule="atLeast"/>
        </w:trPr>
        <w:tc>
          <w:tcPr>
            <w:tcW w:w="5686"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538.71</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538.71</w:t>
            </w: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24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9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9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493.74</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493.74</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20108</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审计事务</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493.74</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493.74</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2010801</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343.74</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343.74</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2010804</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审计业务</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150.00</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150.00</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33.04</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33.04</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32.19</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32.19</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32.19</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32.19</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其他社会保障和就业支出</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0.85</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0.85</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其他社会保障和就业支出</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0.85</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0.85</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医疗卫生与计划生育支出</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213</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农林水支出</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21305</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扶贫</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822"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2130599</w:t>
            </w:r>
          </w:p>
        </w:tc>
        <w:tc>
          <w:tcPr>
            <w:tcW w:w="486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其他扶贫支出</w:t>
            </w:r>
          </w:p>
        </w:tc>
        <w:tc>
          <w:tcPr>
            <w:tcW w:w="14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4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05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60" w:type="dxa"/>
          <w:trHeight w:val="309" w:hRule="atLeast"/>
        </w:trPr>
        <w:tc>
          <w:tcPr>
            <w:tcW w:w="13843" w:type="dxa"/>
            <w:gridSpan w:val="10"/>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注：本表反映部门本年度各项支出情况。</w:t>
            </w:r>
          </w:p>
        </w:tc>
      </w:tr>
    </w:tbl>
    <w:p>
      <w:r>
        <w:br w:type="page"/>
      </w:r>
    </w:p>
    <w:tbl>
      <w:tblPr>
        <w:tblStyle w:val="9"/>
        <w:tblW w:w="14003" w:type="dxa"/>
        <w:tblInd w:w="0" w:type="dxa"/>
        <w:tblLayout w:type="fixed"/>
        <w:tblCellMar>
          <w:top w:w="15" w:type="dxa"/>
          <w:left w:w="15" w:type="dxa"/>
          <w:bottom w:w="15" w:type="dxa"/>
          <w:right w:w="15" w:type="dxa"/>
        </w:tblCellMar>
      </w:tblPr>
      <w:tblGrid>
        <w:gridCol w:w="3586"/>
        <w:gridCol w:w="509"/>
        <w:gridCol w:w="1208"/>
        <w:gridCol w:w="3813"/>
        <w:gridCol w:w="509"/>
        <w:gridCol w:w="846"/>
        <w:gridCol w:w="1478"/>
        <w:gridCol w:w="1931"/>
        <w:gridCol w:w="123"/>
      </w:tblGrid>
      <w:tr>
        <w:tblPrEx>
          <w:tblLayout w:type="fixed"/>
          <w:tblCellMar>
            <w:top w:w="15" w:type="dxa"/>
            <w:left w:w="15" w:type="dxa"/>
            <w:bottom w:w="15" w:type="dxa"/>
            <w:right w:w="15" w:type="dxa"/>
          </w:tblCellMar>
        </w:tblPrEx>
        <w:trPr>
          <w:trHeight w:val="375" w:hRule="atLeast"/>
        </w:trPr>
        <w:tc>
          <w:tcPr>
            <w:tcW w:w="14003" w:type="dxa"/>
            <w:gridSpan w:val="9"/>
            <w:tcBorders>
              <w:right w:val="nil"/>
            </w:tcBorders>
            <w:vAlign w:val="center"/>
          </w:tcPr>
          <w:p>
            <w:pPr>
              <w:widowControl/>
              <w:jc w:val="center"/>
              <w:textAlignment w:val="center"/>
              <w:rPr>
                <w:rFonts w:ascii="黑体" w:hAnsi="宋体" w:eastAsia="黑体" w:cs="黑体"/>
                <w:color w:val="000000"/>
                <w:kern w:val="0"/>
                <w:sz w:val="30"/>
                <w:szCs w:val="30"/>
              </w:rPr>
            </w:pPr>
            <w:r>
              <w:rPr>
                <w:rFonts w:hint="eastAsia" w:ascii="黑体" w:hAnsi="宋体" w:eastAsia="黑体" w:cs="黑体"/>
                <w:color w:val="000000"/>
                <w:kern w:val="0"/>
                <w:sz w:val="30"/>
                <w:szCs w:val="30"/>
              </w:rPr>
              <w:t>财政拨款收入支出决算总表</w:t>
            </w:r>
          </w:p>
        </w:tc>
      </w:tr>
      <w:tr>
        <w:tblPrEx>
          <w:tblLayout w:type="fixed"/>
          <w:tblCellMar>
            <w:top w:w="0" w:type="dxa"/>
            <w:left w:w="108" w:type="dxa"/>
            <w:bottom w:w="0" w:type="dxa"/>
            <w:right w:w="108" w:type="dxa"/>
          </w:tblCellMar>
        </w:tblPrEx>
        <w:trPr>
          <w:gridAfter w:val="1"/>
          <w:wAfter w:w="123" w:type="dxa"/>
          <w:trHeight w:val="264" w:hRule="atLeast"/>
        </w:trPr>
        <w:tc>
          <w:tcPr>
            <w:tcW w:w="358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31"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blPrEx>
          <w:tblLayout w:type="fixed"/>
          <w:tblCellMar>
            <w:top w:w="0" w:type="dxa"/>
            <w:left w:w="108" w:type="dxa"/>
            <w:bottom w:w="0" w:type="dxa"/>
            <w:right w:w="108" w:type="dxa"/>
          </w:tblCellMar>
        </w:tblPrEx>
        <w:trPr>
          <w:gridAfter w:val="1"/>
          <w:wAfter w:w="123" w:type="dxa"/>
          <w:trHeight w:val="264" w:hRule="atLeast"/>
        </w:trPr>
        <w:tc>
          <w:tcPr>
            <w:tcW w:w="4095" w:type="dxa"/>
            <w:gridSpan w:val="2"/>
            <w:tcBorders>
              <w:top w:val="nil"/>
              <w:left w:val="nil"/>
              <w:bottom w:val="single" w:color="000000" w:sz="4" w:space="0"/>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部门：河南省新乡市封丘县审计局</w:t>
            </w:r>
          </w:p>
        </w:tc>
        <w:tc>
          <w:tcPr>
            <w:tcW w:w="12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31"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1"/>
          <w:wAfter w:w="123" w:type="dxa"/>
          <w:trHeight w:val="309" w:hRule="atLeast"/>
        </w:trPr>
        <w:tc>
          <w:tcPr>
            <w:tcW w:w="5303" w:type="dxa"/>
            <w:gridSpan w:val="3"/>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8577" w:type="dxa"/>
            <w:gridSpan w:val="5"/>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Layout w:type="fixed"/>
          <w:tblCellMar>
            <w:top w:w="0" w:type="dxa"/>
            <w:left w:w="108" w:type="dxa"/>
            <w:bottom w:w="0" w:type="dxa"/>
            <w:right w:w="108" w:type="dxa"/>
          </w:tblCellMar>
        </w:tblPrEx>
        <w:trPr>
          <w:gridAfter w:val="1"/>
          <w:wAfter w:w="123" w:type="dxa"/>
          <w:trHeight w:val="312" w:hRule="atLeast"/>
        </w:trPr>
        <w:tc>
          <w:tcPr>
            <w:tcW w:w="3586" w:type="dxa"/>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09"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208"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3813"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09"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846"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478"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1931"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r>
      <w:tr>
        <w:tblPrEx>
          <w:tblLayout w:type="fixed"/>
          <w:tblCellMar>
            <w:top w:w="0" w:type="dxa"/>
            <w:left w:w="108" w:type="dxa"/>
            <w:bottom w:w="0" w:type="dxa"/>
            <w:right w:w="108" w:type="dxa"/>
          </w:tblCellMar>
        </w:tblPrEx>
        <w:trPr>
          <w:gridAfter w:val="1"/>
          <w:wAfter w:w="123" w:type="dxa"/>
          <w:trHeight w:val="615" w:hRule="atLeast"/>
        </w:trPr>
        <w:tc>
          <w:tcPr>
            <w:tcW w:w="3586" w:type="dxa"/>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509"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1208"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3813"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509"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846"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1478"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1931"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538.94</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493.74</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493.74</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七、文化体育与传媒支出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33.04</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33.04</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九、医疗卫生与计划生育支出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十四、资源勘探信息等支出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20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509"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84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2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8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2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8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2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十八、国土海洋气象等支出</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8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2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8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2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8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2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二十一、其他支出</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8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2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538.94</w:t>
            </w:r>
          </w:p>
        </w:tc>
        <w:tc>
          <w:tcPr>
            <w:tcW w:w="38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8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538.71</w:t>
            </w:r>
          </w:p>
        </w:tc>
        <w:tc>
          <w:tcPr>
            <w:tcW w:w="14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538.71</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2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289.94</w:t>
            </w:r>
          </w:p>
        </w:tc>
        <w:tc>
          <w:tcPr>
            <w:tcW w:w="38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8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290.17</w:t>
            </w:r>
          </w:p>
        </w:tc>
        <w:tc>
          <w:tcPr>
            <w:tcW w:w="14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290.17</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一般公共预算财政拨款</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12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289.94</w:t>
            </w:r>
          </w:p>
        </w:tc>
        <w:tc>
          <w:tcPr>
            <w:tcW w:w="38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8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政府性基金预算财政拨款</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12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8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8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12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8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gridAfter w:val="1"/>
          <w:wAfter w:w="123" w:type="dxa"/>
          <w:trHeight w:val="309" w:hRule="atLeast"/>
        </w:trPr>
        <w:tc>
          <w:tcPr>
            <w:tcW w:w="35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2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828.88</w:t>
            </w:r>
          </w:p>
        </w:tc>
        <w:tc>
          <w:tcPr>
            <w:tcW w:w="38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84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828.88</w:t>
            </w:r>
          </w:p>
        </w:tc>
        <w:tc>
          <w:tcPr>
            <w:tcW w:w="14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828.88</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23" w:type="dxa"/>
          <w:trHeight w:val="309" w:hRule="atLeast"/>
        </w:trPr>
        <w:tc>
          <w:tcPr>
            <w:tcW w:w="13880" w:type="dxa"/>
            <w:gridSpan w:val="8"/>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注：本表反映部门本年度一般公共预算财政拨款和政府性基金预算财政拨款的总收支和年末结转结余情况。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9"/>
        <w:tblW w:w="14002" w:type="dxa"/>
        <w:tblInd w:w="0" w:type="dxa"/>
        <w:tblLayout w:type="fixed"/>
        <w:tblCellMar>
          <w:top w:w="15" w:type="dxa"/>
          <w:left w:w="15" w:type="dxa"/>
          <w:bottom w:w="15" w:type="dxa"/>
          <w:right w:w="15" w:type="dxa"/>
        </w:tblCellMar>
      </w:tblPr>
      <w:tblGrid>
        <w:gridCol w:w="328"/>
        <w:gridCol w:w="256"/>
        <w:gridCol w:w="236"/>
        <w:gridCol w:w="5168"/>
        <w:gridCol w:w="2067"/>
        <w:gridCol w:w="2067"/>
        <w:gridCol w:w="2570"/>
        <w:gridCol w:w="1310"/>
      </w:tblGrid>
      <w:tr>
        <w:tblPrEx>
          <w:tblLayout w:type="fixed"/>
          <w:tblCellMar>
            <w:top w:w="15" w:type="dxa"/>
            <w:left w:w="15" w:type="dxa"/>
            <w:bottom w:w="15" w:type="dxa"/>
            <w:right w:w="15" w:type="dxa"/>
          </w:tblCellMar>
        </w:tblPrEx>
        <w:trPr>
          <w:trHeight w:val="375" w:hRule="atLeast"/>
        </w:trPr>
        <w:tc>
          <w:tcPr>
            <w:tcW w:w="14002" w:type="dxa"/>
            <w:gridSpan w:val="8"/>
            <w:tcBorders>
              <w:right w:val="nil"/>
            </w:tcBorders>
            <w:vAlign w:val="center"/>
          </w:tcPr>
          <w:p>
            <w:pPr>
              <w:widowControl/>
              <w:jc w:val="center"/>
              <w:textAlignment w:val="center"/>
              <w:rPr>
                <w:rFonts w:ascii="黑体" w:hAnsi="宋体" w:eastAsia="黑体" w:cs="黑体"/>
                <w:color w:val="000000"/>
                <w:kern w:val="0"/>
                <w:sz w:val="30"/>
                <w:szCs w:val="30"/>
              </w:rPr>
            </w:pPr>
            <w:r>
              <w:rPr>
                <w:rFonts w:hint="eastAsia" w:ascii="黑体" w:hAnsi="宋体" w:eastAsia="黑体" w:cs="黑体"/>
                <w:color w:val="000000"/>
                <w:kern w:val="0"/>
                <w:sz w:val="30"/>
                <w:szCs w:val="30"/>
              </w:rPr>
              <w:t>一般公共预算财政拨款支出决算表</w:t>
            </w:r>
          </w:p>
        </w:tc>
      </w:tr>
      <w:tr>
        <w:tblPrEx>
          <w:tblLayout w:type="fixed"/>
          <w:tblCellMar>
            <w:top w:w="0" w:type="dxa"/>
            <w:left w:w="108" w:type="dxa"/>
            <w:bottom w:w="0" w:type="dxa"/>
            <w:right w:w="108" w:type="dxa"/>
          </w:tblCellMar>
        </w:tblPrEx>
        <w:trPr>
          <w:gridAfter w:val="1"/>
          <w:wAfter w:w="1310" w:type="dxa"/>
          <w:trHeight w:val="264" w:hRule="atLeast"/>
        </w:trPr>
        <w:tc>
          <w:tcPr>
            <w:tcW w:w="32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70"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Layout w:type="fixed"/>
          <w:tblCellMar>
            <w:top w:w="0" w:type="dxa"/>
            <w:left w:w="108" w:type="dxa"/>
            <w:bottom w:w="0" w:type="dxa"/>
            <w:right w:w="108" w:type="dxa"/>
          </w:tblCellMar>
        </w:tblPrEx>
        <w:trPr>
          <w:gridAfter w:val="1"/>
          <w:wAfter w:w="1310" w:type="dxa"/>
          <w:trHeight w:val="264" w:hRule="atLeast"/>
        </w:trPr>
        <w:tc>
          <w:tcPr>
            <w:tcW w:w="5988" w:type="dxa"/>
            <w:gridSpan w:val="4"/>
            <w:tcBorders>
              <w:top w:val="nil"/>
              <w:left w:val="nil"/>
              <w:bottom w:val="single" w:color="000000" w:sz="4" w:space="0"/>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部门：河南省新乡市封丘县审计局</w:t>
            </w:r>
          </w:p>
        </w:tc>
        <w:tc>
          <w:tcPr>
            <w:tcW w:w="20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70"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1"/>
          <w:wAfter w:w="1310" w:type="dxa"/>
          <w:trHeight w:val="309" w:hRule="atLeast"/>
        </w:trPr>
        <w:tc>
          <w:tcPr>
            <w:tcW w:w="5988" w:type="dxa"/>
            <w:gridSpan w:val="4"/>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704" w:type="dxa"/>
            <w:gridSpan w:val="3"/>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blPrEx>
          <w:tblLayout w:type="fixed"/>
          <w:tblCellMar>
            <w:top w:w="0" w:type="dxa"/>
            <w:left w:w="108" w:type="dxa"/>
            <w:bottom w:w="0" w:type="dxa"/>
            <w:right w:w="108" w:type="dxa"/>
          </w:tblCellMar>
        </w:tblPrEx>
        <w:trPr>
          <w:gridAfter w:val="1"/>
          <w:wAfter w:w="1310" w:type="dxa"/>
          <w:trHeight w:val="312" w:hRule="atLeast"/>
        </w:trPr>
        <w:tc>
          <w:tcPr>
            <w:tcW w:w="820" w:type="dxa"/>
            <w:gridSpan w:val="3"/>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5168"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2067"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2067"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257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blPrEx>
          <w:tblLayout w:type="fixed"/>
          <w:tblCellMar>
            <w:top w:w="0" w:type="dxa"/>
            <w:left w:w="108" w:type="dxa"/>
            <w:bottom w:w="0" w:type="dxa"/>
            <w:right w:w="108" w:type="dxa"/>
          </w:tblCellMar>
        </w:tblPrEx>
        <w:trPr>
          <w:gridAfter w:val="1"/>
          <w:wAfter w:w="1310" w:type="dxa"/>
          <w:trHeight w:val="312" w:hRule="atLeast"/>
        </w:trPr>
        <w:tc>
          <w:tcPr>
            <w:tcW w:w="820" w:type="dxa"/>
            <w:gridSpan w:val="3"/>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5168"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067"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067"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57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gridAfter w:val="1"/>
          <w:wAfter w:w="1310" w:type="dxa"/>
          <w:trHeight w:val="312" w:hRule="atLeast"/>
        </w:trPr>
        <w:tc>
          <w:tcPr>
            <w:tcW w:w="820" w:type="dxa"/>
            <w:gridSpan w:val="3"/>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5168"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067"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067"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57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gridAfter w:val="1"/>
          <w:wAfter w:w="1310" w:type="dxa"/>
          <w:trHeight w:val="309" w:hRule="atLeast"/>
        </w:trPr>
        <w:tc>
          <w:tcPr>
            <w:tcW w:w="5988" w:type="dxa"/>
            <w:gridSpan w:val="4"/>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067"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2067"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257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blPrEx>
          <w:tblLayout w:type="fixed"/>
          <w:tblCellMar>
            <w:top w:w="0" w:type="dxa"/>
            <w:left w:w="108" w:type="dxa"/>
            <w:bottom w:w="0" w:type="dxa"/>
            <w:right w:w="108" w:type="dxa"/>
          </w:tblCellMar>
        </w:tblPrEx>
        <w:trPr>
          <w:gridAfter w:val="1"/>
          <w:wAfter w:w="1310" w:type="dxa"/>
          <w:trHeight w:val="326" w:hRule="atLeast"/>
        </w:trPr>
        <w:tc>
          <w:tcPr>
            <w:tcW w:w="5988" w:type="dxa"/>
            <w:gridSpan w:val="4"/>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2067"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538.71</w:t>
            </w:r>
          </w:p>
        </w:tc>
        <w:tc>
          <w:tcPr>
            <w:tcW w:w="2067"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538.71</w:t>
            </w:r>
          </w:p>
        </w:tc>
        <w:tc>
          <w:tcPr>
            <w:tcW w:w="257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493.74</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493.74</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20108</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审计事务</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493.74</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493.74</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2010801</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343.74</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343.74</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2010804</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审计业务</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150.00</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150.00</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33.04</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33.04</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32.19</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32.19</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32.19</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32.19</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其他社会保障和就业支出</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0.85</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0.85</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其他社会保障和就业支出</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0.85</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0.85</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医疗卫生与计划生育支出</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10.92</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213</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农林水支出</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21305</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扶贫</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820"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2130599</w:t>
            </w:r>
          </w:p>
        </w:tc>
        <w:tc>
          <w:tcPr>
            <w:tcW w:w="516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其他扶贫支出</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06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2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gridAfter w:val="1"/>
          <w:wAfter w:w="1310" w:type="dxa"/>
          <w:trHeight w:val="309" w:hRule="atLeast"/>
        </w:trPr>
        <w:tc>
          <w:tcPr>
            <w:tcW w:w="12692" w:type="dxa"/>
            <w:gridSpan w:val="7"/>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注：本表反映部门本年度一般公共预算财政拨款支出情况。</w:t>
            </w:r>
          </w:p>
        </w:tc>
      </w:tr>
    </w:tbl>
    <w:p>
      <w:r>
        <w:br w:type="page"/>
      </w:r>
    </w:p>
    <w:tbl>
      <w:tblPr>
        <w:tblStyle w:val="9"/>
        <w:tblW w:w="14021" w:type="dxa"/>
        <w:tblInd w:w="0" w:type="dxa"/>
        <w:tblLayout w:type="fixed"/>
        <w:tblCellMar>
          <w:top w:w="15" w:type="dxa"/>
          <w:left w:w="15" w:type="dxa"/>
          <w:bottom w:w="15" w:type="dxa"/>
          <w:right w:w="15" w:type="dxa"/>
        </w:tblCellMar>
      </w:tblPr>
      <w:tblGrid>
        <w:gridCol w:w="860"/>
        <w:gridCol w:w="3330"/>
        <w:gridCol w:w="1120"/>
        <w:gridCol w:w="820"/>
        <w:gridCol w:w="2300"/>
        <w:gridCol w:w="1045"/>
        <w:gridCol w:w="860"/>
        <w:gridCol w:w="2680"/>
        <w:gridCol w:w="792"/>
        <w:gridCol w:w="214"/>
      </w:tblGrid>
      <w:tr>
        <w:tblPrEx>
          <w:tblLayout w:type="fixed"/>
          <w:tblCellMar>
            <w:top w:w="15" w:type="dxa"/>
            <w:left w:w="15" w:type="dxa"/>
            <w:bottom w:w="15" w:type="dxa"/>
            <w:right w:w="15" w:type="dxa"/>
          </w:tblCellMar>
        </w:tblPrEx>
        <w:trPr>
          <w:gridAfter w:val="1"/>
          <w:wAfter w:w="214" w:type="dxa"/>
          <w:trHeight w:val="555" w:hRule="atLeast"/>
        </w:trPr>
        <w:tc>
          <w:tcPr>
            <w:tcW w:w="13807" w:type="dxa"/>
            <w:gridSpan w:val="9"/>
            <w:tcBorders>
              <w:right w:val="nil"/>
            </w:tcBorders>
            <w:vAlign w:val="center"/>
          </w:tcPr>
          <w:p>
            <w:pPr>
              <w:widowControl/>
              <w:jc w:val="center"/>
              <w:textAlignment w:val="center"/>
              <w:rPr>
                <w:rFonts w:ascii="黑体" w:hAnsi="宋体" w:eastAsia="黑体" w:cs="黑体"/>
                <w:color w:val="000000"/>
                <w:kern w:val="0"/>
                <w:sz w:val="30"/>
                <w:szCs w:val="30"/>
              </w:rPr>
            </w:pPr>
            <w:r>
              <w:rPr>
                <w:rFonts w:hint="eastAsia" w:ascii="黑体" w:hAnsi="宋体" w:eastAsia="黑体" w:cs="黑体"/>
                <w:color w:val="000000"/>
                <w:kern w:val="0"/>
                <w:sz w:val="30"/>
                <w:szCs w:val="30"/>
              </w:rPr>
              <w:t>一般公共预算财政拨款基本支出决算表</w:t>
            </w:r>
          </w:p>
        </w:tc>
      </w:tr>
      <w:tr>
        <w:tblPrEx>
          <w:tblLayout w:type="fixed"/>
          <w:tblCellMar>
            <w:top w:w="0" w:type="dxa"/>
            <w:left w:w="108" w:type="dxa"/>
            <w:bottom w:w="0" w:type="dxa"/>
            <w:right w:w="108" w:type="dxa"/>
          </w:tblCellMar>
        </w:tblPrEx>
        <w:trPr>
          <w:trHeight w:val="264" w:hRule="atLeast"/>
        </w:trPr>
        <w:tc>
          <w:tcPr>
            <w:tcW w:w="8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686" w:type="dxa"/>
            <w:gridSpan w:val="3"/>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公开06表</w:t>
            </w:r>
          </w:p>
        </w:tc>
      </w:tr>
      <w:tr>
        <w:tblPrEx>
          <w:tblLayout w:type="fixed"/>
          <w:tblCellMar>
            <w:top w:w="0" w:type="dxa"/>
            <w:left w:w="108" w:type="dxa"/>
            <w:bottom w:w="0" w:type="dxa"/>
            <w:right w:w="108" w:type="dxa"/>
          </w:tblCellMar>
        </w:tblPrEx>
        <w:trPr>
          <w:trHeight w:val="264" w:hRule="atLeast"/>
        </w:trPr>
        <w:tc>
          <w:tcPr>
            <w:tcW w:w="5310" w:type="dxa"/>
            <w:gridSpan w:val="3"/>
            <w:tcBorders>
              <w:top w:val="nil"/>
              <w:left w:val="nil"/>
              <w:bottom w:val="single" w:color="000000" w:sz="4" w:space="0"/>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部门：河南省新乡市封丘县审计局</w:t>
            </w:r>
          </w:p>
        </w:tc>
        <w:tc>
          <w:tcPr>
            <w:tcW w:w="8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686" w:type="dxa"/>
            <w:gridSpan w:val="3"/>
            <w:tcBorders>
              <w:top w:val="nil"/>
              <w:left w:val="nil"/>
              <w:bottom w:val="single" w:color="000000" w:sz="4" w:space="0"/>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9" w:hRule="atLeast"/>
        </w:trPr>
        <w:tc>
          <w:tcPr>
            <w:tcW w:w="5310" w:type="dxa"/>
            <w:gridSpan w:val="3"/>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w:t>
            </w:r>
          </w:p>
        </w:tc>
        <w:tc>
          <w:tcPr>
            <w:tcW w:w="8711" w:type="dxa"/>
            <w:gridSpan w:val="7"/>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w:t>
            </w:r>
          </w:p>
        </w:tc>
      </w:tr>
      <w:tr>
        <w:tblPrEx>
          <w:tblLayout w:type="fixed"/>
          <w:tblCellMar>
            <w:top w:w="0" w:type="dxa"/>
            <w:left w:w="108" w:type="dxa"/>
            <w:bottom w:w="0" w:type="dxa"/>
            <w:right w:w="108" w:type="dxa"/>
          </w:tblCellMar>
        </w:tblPrEx>
        <w:trPr>
          <w:trHeight w:val="312" w:hRule="atLeast"/>
        </w:trPr>
        <w:tc>
          <w:tcPr>
            <w:tcW w:w="860" w:type="dxa"/>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经济分类科目编码</w:t>
            </w:r>
          </w:p>
        </w:tc>
        <w:tc>
          <w:tcPr>
            <w:tcW w:w="333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12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82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经济分类科目编码</w:t>
            </w:r>
          </w:p>
        </w:tc>
        <w:tc>
          <w:tcPr>
            <w:tcW w:w="230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045"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86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经济分类科目编码</w:t>
            </w:r>
          </w:p>
        </w:tc>
        <w:tc>
          <w:tcPr>
            <w:tcW w:w="26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006" w:type="dxa"/>
            <w:gridSpan w:val="2"/>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blPrEx>
          <w:tblLayout w:type="fixed"/>
          <w:tblCellMar>
            <w:top w:w="0" w:type="dxa"/>
            <w:left w:w="108" w:type="dxa"/>
            <w:bottom w:w="0" w:type="dxa"/>
            <w:right w:w="108" w:type="dxa"/>
          </w:tblCellMar>
        </w:tblPrEx>
        <w:trPr>
          <w:trHeight w:val="615" w:hRule="atLeast"/>
        </w:trPr>
        <w:tc>
          <w:tcPr>
            <w:tcW w:w="860" w:type="dxa"/>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333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112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82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30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1045"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86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26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c>
          <w:tcPr>
            <w:tcW w:w="1006" w:type="dxa"/>
            <w:gridSpan w:val="2"/>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w:t>
            </w:r>
          </w:p>
        </w:tc>
        <w:tc>
          <w:tcPr>
            <w:tcW w:w="333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工资福利支出</w:t>
            </w:r>
          </w:p>
        </w:tc>
        <w:tc>
          <w:tcPr>
            <w:tcW w:w="112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269.73</w:t>
            </w:r>
          </w:p>
        </w:tc>
        <w:tc>
          <w:tcPr>
            <w:tcW w:w="82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w:t>
            </w:r>
          </w:p>
        </w:tc>
        <w:tc>
          <w:tcPr>
            <w:tcW w:w="230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商品和服务支出</w:t>
            </w:r>
          </w:p>
        </w:tc>
        <w:tc>
          <w:tcPr>
            <w:tcW w:w="104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190.68</w:t>
            </w:r>
          </w:p>
        </w:tc>
        <w:tc>
          <w:tcPr>
            <w:tcW w:w="86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w:t>
            </w:r>
          </w:p>
        </w:tc>
        <w:tc>
          <w:tcPr>
            <w:tcW w:w="26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其他资本性支出</w:t>
            </w:r>
          </w:p>
        </w:tc>
        <w:tc>
          <w:tcPr>
            <w:tcW w:w="1006"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56.50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30101</w:t>
            </w:r>
          </w:p>
        </w:tc>
        <w:tc>
          <w:tcPr>
            <w:tcW w:w="333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基本工资</w:t>
            </w:r>
          </w:p>
        </w:tc>
        <w:tc>
          <w:tcPr>
            <w:tcW w:w="112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137.87</w:t>
            </w:r>
          </w:p>
        </w:tc>
        <w:tc>
          <w:tcPr>
            <w:tcW w:w="82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30201</w:t>
            </w:r>
          </w:p>
        </w:tc>
        <w:tc>
          <w:tcPr>
            <w:tcW w:w="230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办公费</w:t>
            </w:r>
          </w:p>
        </w:tc>
        <w:tc>
          <w:tcPr>
            <w:tcW w:w="104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30.81</w:t>
            </w:r>
          </w:p>
        </w:tc>
        <w:tc>
          <w:tcPr>
            <w:tcW w:w="86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31001</w:t>
            </w:r>
          </w:p>
        </w:tc>
        <w:tc>
          <w:tcPr>
            <w:tcW w:w="26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房屋建筑物购建</w:t>
            </w:r>
          </w:p>
        </w:tc>
        <w:tc>
          <w:tcPr>
            <w:tcW w:w="1006"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30102</w:t>
            </w:r>
          </w:p>
        </w:tc>
        <w:tc>
          <w:tcPr>
            <w:tcW w:w="333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津贴补贴</w:t>
            </w:r>
          </w:p>
        </w:tc>
        <w:tc>
          <w:tcPr>
            <w:tcW w:w="112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53.05</w:t>
            </w:r>
          </w:p>
        </w:tc>
        <w:tc>
          <w:tcPr>
            <w:tcW w:w="82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30202</w:t>
            </w:r>
          </w:p>
        </w:tc>
        <w:tc>
          <w:tcPr>
            <w:tcW w:w="230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印刷费</w:t>
            </w:r>
          </w:p>
        </w:tc>
        <w:tc>
          <w:tcPr>
            <w:tcW w:w="104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31002</w:t>
            </w:r>
          </w:p>
        </w:tc>
        <w:tc>
          <w:tcPr>
            <w:tcW w:w="26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办公设备购置</w:t>
            </w:r>
          </w:p>
        </w:tc>
        <w:tc>
          <w:tcPr>
            <w:tcW w:w="1006"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15.52</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30103</w:t>
            </w:r>
          </w:p>
        </w:tc>
        <w:tc>
          <w:tcPr>
            <w:tcW w:w="333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奖金</w:t>
            </w:r>
          </w:p>
        </w:tc>
        <w:tc>
          <w:tcPr>
            <w:tcW w:w="112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3.87</w:t>
            </w:r>
          </w:p>
        </w:tc>
        <w:tc>
          <w:tcPr>
            <w:tcW w:w="82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30203</w:t>
            </w:r>
          </w:p>
        </w:tc>
        <w:tc>
          <w:tcPr>
            <w:tcW w:w="230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咨询费</w:t>
            </w:r>
          </w:p>
        </w:tc>
        <w:tc>
          <w:tcPr>
            <w:tcW w:w="104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31003</w:t>
            </w:r>
          </w:p>
        </w:tc>
        <w:tc>
          <w:tcPr>
            <w:tcW w:w="26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专用设备购置</w:t>
            </w:r>
          </w:p>
        </w:tc>
        <w:tc>
          <w:tcPr>
            <w:tcW w:w="1006"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30104</w:t>
            </w:r>
          </w:p>
        </w:tc>
        <w:tc>
          <w:tcPr>
            <w:tcW w:w="333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其他社会保障缴费</w:t>
            </w:r>
          </w:p>
        </w:tc>
        <w:tc>
          <w:tcPr>
            <w:tcW w:w="112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30204</w:t>
            </w:r>
          </w:p>
        </w:tc>
        <w:tc>
          <w:tcPr>
            <w:tcW w:w="230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手续费</w:t>
            </w:r>
          </w:p>
        </w:tc>
        <w:tc>
          <w:tcPr>
            <w:tcW w:w="104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31005</w:t>
            </w:r>
          </w:p>
        </w:tc>
        <w:tc>
          <w:tcPr>
            <w:tcW w:w="26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基础设施建设</w:t>
            </w:r>
          </w:p>
        </w:tc>
        <w:tc>
          <w:tcPr>
            <w:tcW w:w="1006"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30106</w:t>
            </w:r>
          </w:p>
        </w:tc>
        <w:tc>
          <w:tcPr>
            <w:tcW w:w="333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伙食补助费</w:t>
            </w:r>
          </w:p>
        </w:tc>
        <w:tc>
          <w:tcPr>
            <w:tcW w:w="112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6.35</w:t>
            </w:r>
          </w:p>
        </w:tc>
        <w:tc>
          <w:tcPr>
            <w:tcW w:w="82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30205</w:t>
            </w:r>
          </w:p>
        </w:tc>
        <w:tc>
          <w:tcPr>
            <w:tcW w:w="230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水费</w:t>
            </w:r>
          </w:p>
        </w:tc>
        <w:tc>
          <w:tcPr>
            <w:tcW w:w="104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31006</w:t>
            </w:r>
          </w:p>
        </w:tc>
        <w:tc>
          <w:tcPr>
            <w:tcW w:w="26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大型修缮</w:t>
            </w:r>
          </w:p>
        </w:tc>
        <w:tc>
          <w:tcPr>
            <w:tcW w:w="1006"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30107</w:t>
            </w:r>
          </w:p>
        </w:tc>
        <w:tc>
          <w:tcPr>
            <w:tcW w:w="333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绩效工资</w:t>
            </w:r>
          </w:p>
        </w:tc>
        <w:tc>
          <w:tcPr>
            <w:tcW w:w="112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4.83</w:t>
            </w:r>
          </w:p>
        </w:tc>
        <w:tc>
          <w:tcPr>
            <w:tcW w:w="82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30206</w:t>
            </w:r>
          </w:p>
        </w:tc>
        <w:tc>
          <w:tcPr>
            <w:tcW w:w="230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电费</w:t>
            </w:r>
          </w:p>
        </w:tc>
        <w:tc>
          <w:tcPr>
            <w:tcW w:w="104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31007</w:t>
            </w:r>
          </w:p>
        </w:tc>
        <w:tc>
          <w:tcPr>
            <w:tcW w:w="26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信息网络及软件购置更新</w:t>
            </w:r>
          </w:p>
        </w:tc>
        <w:tc>
          <w:tcPr>
            <w:tcW w:w="1006"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40.98</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30108</w:t>
            </w:r>
          </w:p>
        </w:tc>
        <w:tc>
          <w:tcPr>
            <w:tcW w:w="333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w:t>
            </w:r>
          </w:p>
        </w:tc>
        <w:tc>
          <w:tcPr>
            <w:tcW w:w="112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43.97</w:t>
            </w:r>
          </w:p>
        </w:tc>
        <w:tc>
          <w:tcPr>
            <w:tcW w:w="82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30207</w:t>
            </w:r>
          </w:p>
        </w:tc>
        <w:tc>
          <w:tcPr>
            <w:tcW w:w="230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邮电费</w:t>
            </w:r>
          </w:p>
        </w:tc>
        <w:tc>
          <w:tcPr>
            <w:tcW w:w="104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31008</w:t>
            </w:r>
          </w:p>
        </w:tc>
        <w:tc>
          <w:tcPr>
            <w:tcW w:w="26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物资储备</w:t>
            </w:r>
          </w:p>
        </w:tc>
        <w:tc>
          <w:tcPr>
            <w:tcW w:w="1006"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30109</w:t>
            </w:r>
          </w:p>
        </w:tc>
        <w:tc>
          <w:tcPr>
            <w:tcW w:w="333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职业年金缴费</w:t>
            </w:r>
          </w:p>
        </w:tc>
        <w:tc>
          <w:tcPr>
            <w:tcW w:w="112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30208</w:t>
            </w:r>
          </w:p>
        </w:tc>
        <w:tc>
          <w:tcPr>
            <w:tcW w:w="230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取暖费</w:t>
            </w:r>
          </w:p>
        </w:tc>
        <w:tc>
          <w:tcPr>
            <w:tcW w:w="104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31009</w:t>
            </w:r>
          </w:p>
        </w:tc>
        <w:tc>
          <w:tcPr>
            <w:tcW w:w="26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土地补偿</w:t>
            </w:r>
          </w:p>
        </w:tc>
        <w:tc>
          <w:tcPr>
            <w:tcW w:w="1006"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30199</w:t>
            </w:r>
          </w:p>
        </w:tc>
        <w:tc>
          <w:tcPr>
            <w:tcW w:w="333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其他工资福利支出</w:t>
            </w:r>
          </w:p>
        </w:tc>
        <w:tc>
          <w:tcPr>
            <w:tcW w:w="112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19.80</w:t>
            </w:r>
          </w:p>
        </w:tc>
        <w:tc>
          <w:tcPr>
            <w:tcW w:w="82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30209</w:t>
            </w:r>
          </w:p>
        </w:tc>
        <w:tc>
          <w:tcPr>
            <w:tcW w:w="230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物业管理费</w:t>
            </w:r>
          </w:p>
        </w:tc>
        <w:tc>
          <w:tcPr>
            <w:tcW w:w="104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31010</w:t>
            </w:r>
          </w:p>
        </w:tc>
        <w:tc>
          <w:tcPr>
            <w:tcW w:w="26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安置补助</w:t>
            </w:r>
          </w:p>
        </w:tc>
        <w:tc>
          <w:tcPr>
            <w:tcW w:w="1006"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w:t>
            </w:r>
          </w:p>
        </w:tc>
        <w:tc>
          <w:tcPr>
            <w:tcW w:w="333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对个人和家庭的补助</w:t>
            </w:r>
          </w:p>
        </w:tc>
        <w:tc>
          <w:tcPr>
            <w:tcW w:w="112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21.80</w:t>
            </w:r>
          </w:p>
        </w:tc>
        <w:tc>
          <w:tcPr>
            <w:tcW w:w="82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30211</w:t>
            </w:r>
          </w:p>
        </w:tc>
        <w:tc>
          <w:tcPr>
            <w:tcW w:w="230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差旅费</w:t>
            </w:r>
          </w:p>
        </w:tc>
        <w:tc>
          <w:tcPr>
            <w:tcW w:w="104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10.84</w:t>
            </w:r>
          </w:p>
        </w:tc>
        <w:tc>
          <w:tcPr>
            <w:tcW w:w="86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31011</w:t>
            </w:r>
          </w:p>
        </w:tc>
        <w:tc>
          <w:tcPr>
            <w:tcW w:w="26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地上附着物和青苗补偿</w:t>
            </w:r>
          </w:p>
        </w:tc>
        <w:tc>
          <w:tcPr>
            <w:tcW w:w="1006"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30301</w:t>
            </w:r>
          </w:p>
        </w:tc>
        <w:tc>
          <w:tcPr>
            <w:tcW w:w="333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离休费</w:t>
            </w:r>
          </w:p>
        </w:tc>
        <w:tc>
          <w:tcPr>
            <w:tcW w:w="112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30212</w:t>
            </w:r>
          </w:p>
        </w:tc>
        <w:tc>
          <w:tcPr>
            <w:tcW w:w="230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因公出国（境）费用</w:t>
            </w:r>
          </w:p>
        </w:tc>
        <w:tc>
          <w:tcPr>
            <w:tcW w:w="1045"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31012</w:t>
            </w:r>
          </w:p>
        </w:tc>
        <w:tc>
          <w:tcPr>
            <w:tcW w:w="26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拆迁补偿</w:t>
            </w:r>
          </w:p>
        </w:tc>
        <w:tc>
          <w:tcPr>
            <w:tcW w:w="1006"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30302</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退休费</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30213</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维修(护)费</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31013</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公务用车购置</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30303</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退职（役）费</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30214</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租赁费</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31019</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其他交通工具购置</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30304</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抚恤金</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5.12</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30215</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会议费</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31020</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产权参股</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30305</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生活补助</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9.85</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30216</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培训费</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31099</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其他资本性支出</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30306</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救济费</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30217</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公务接待费</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304</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对企事业单位的补贴</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3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30307</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30218</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专用材料费</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30401</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企业政策性补贴</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30308</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助学金</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30224</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被装购置费</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30402</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事业单位补贴</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30309</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奖励金</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6.84</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30225</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专用燃料费</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30403</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财政贴息</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30310</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生产补贴</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30226</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劳务费</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30499</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其他对企事业单位的补贴</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30311</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住房公积金</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30227</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委托业务费</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127.88</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307</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债务利息支出</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30312</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提租补贴</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30228</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工会经费</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30701</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国内债务付息</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30313</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购房补贴</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30229</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福利费</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30707</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国外债务付息</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30314</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采暖补贴</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30231</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公务用车运行维护费</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0.05</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399</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30315</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物业服务补贴</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30239</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其他交通费用</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39906</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赠与</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30399</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其他对个人和家庭的补助支出</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30240</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税金及附加费用</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9" w:hRule="atLeast"/>
        </w:trPr>
        <w:tc>
          <w:tcPr>
            <w:tcW w:w="8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33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30299</w:t>
            </w:r>
          </w:p>
        </w:tc>
        <w:tc>
          <w:tcPr>
            <w:tcW w:w="230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其他商品和服务支出</w:t>
            </w:r>
          </w:p>
        </w:tc>
        <w:tc>
          <w:tcPr>
            <w:tcW w:w="104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20.97</w:t>
            </w:r>
          </w:p>
        </w:tc>
        <w:tc>
          <w:tcPr>
            <w:tcW w:w="86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9" w:hRule="atLeast"/>
        </w:trPr>
        <w:tc>
          <w:tcPr>
            <w:tcW w:w="4190" w:type="dxa"/>
            <w:gridSpan w:val="2"/>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人员经费合计</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291.54</w:t>
            </w:r>
          </w:p>
        </w:tc>
        <w:tc>
          <w:tcPr>
            <w:tcW w:w="7705" w:type="dxa"/>
            <w:gridSpan w:val="5"/>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公用经费合计</w:t>
            </w:r>
          </w:p>
        </w:tc>
        <w:tc>
          <w:tcPr>
            <w:tcW w:w="100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247.17</w:t>
            </w:r>
          </w:p>
        </w:tc>
      </w:tr>
      <w:tr>
        <w:tblPrEx>
          <w:tblLayout w:type="fixed"/>
          <w:tblCellMar>
            <w:top w:w="0" w:type="dxa"/>
            <w:left w:w="108" w:type="dxa"/>
            <w:bottom w:w="0" w:type="dxa"/>
            <w:right w:w="108" w:type="dxa"/>
          </w:tblCellMar>
        </w:tblPrEx>
        <w:trPr>
          <w:trHeight w:val="309" w:hRule="atLeast"/>
        </w:trPr>
        <w:tc>
          <w:tcPr>
            <w:tcW w:w="14021" w:type="dxa"/>
            <w:gridSpan w:val="10"/>
            <w:tcBorders>
              <w:top w:val="nil"/>
              <w:left w:val="nil"/>
              <w:bottom w:val="nil"/>
              <w:right w:val="nil"/>
            </w:tcBorders>
            <w:shd w:val="clear" w:color="auto" w:fill="FFFFFF" w:themeFill="background1"/>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注：本表反映部门本年度一般公共预算财政拨款基本支出明细情况。</w:t>
            </w:r>
          </w:p>
        </w:tc>
      </w:tr>
    </w:tbl>
    <w:p>
      <w:r>
        <w:br w:type="page"/>
      </w:r>
    </w:p>
    <w:tbl>
      <w:tblPr>
        <w:tblStyle w:val="9"/>
        <w:tblW w:w="13940" w:type="dxa"/>
        <w:tblInd w:w="93" w:type="dxa"/>
        <w:tblLayout w:type="fixed"/>
        <w:tblCellMar>
          <w:top w:w="0" w:type="dxa"/>
          <w:left w:w="108" w:type="dxa"/>
          <w:bottom w:w="0" w:type="dxa"/>
          <w:right w:w="108" w:type="dxa"/>
        </w:tblCellMar>
      </w:tblPr>
      <w:tblGrid>
        <w:gridCol w:w="1180"/>
        <w:gridCol w:w="1100"/>
        <w:gridCol w:w="980"/>
        <w:gridCol w:w="1180"/>
        <w:gridCol w:w="1340"/>
        <w:gridCol w:w="1180"/>
        <w:gridCol w:w="1020"/>
        <w:gridCol w:w="1100"/>
        <w:gridCol w:w="1140"/>
        <w:gridCol w:w="1240"/>
        <w:gridCol w:w="1300"/>
        <w:gridCol w:w="1180"/>
      </w:tblGrid>
      <w:tr>
        <w:tblPrEx>
          <w:tblLayout w:type="fixed"/>
          <w:tblCellMar>
            <w:top w:w="0" w:type="dxa"/>
            <w:left w:w="108" w:type="dxa"/>
            <w:bottom w:w="0" w:type="dxa"/>
            <w:right w:w="108" w:type="dxa"/>
          </w:tblCellMar>
        </w:tblPrEx>
        <w:trPr>
          <w:trHeight w:val="564" w:hRule="atLeast"/>
        </w:trPr>
        <w:tc>
          <w:tcPr>
            <w:tcW w:w="13940" w:type="dxa"/>
            <w:gridSpan w:val="12"/>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264" w:hRule="atLeast"/>
        </w:trPr>
        <w:tc>
          <w:tcPr>
            <w:tcW w:w="11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0"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公开07表</w:t>
            </w:r>
          </w:p>
        </w:tc>
      </w:tr>
      <w:tr>
        <w:tblPrEx>
          <w:tblLayout w:type="fixed"/>
          <w:tblCellMar>
            <w:top w:w="0" w:type="dxa"/>
            <w:left w:w="108" w:type="dxa"/>
            <w:bottom w:w="0" w:type="dxa"/>
            <w:right w:w="108" w:type="dxa"/>
          </w:tblCellMar>
        </w:tblPrEx>
        <w:trPr>
          <w:trHeight w:val="264" w:hRule="atLeast"/>
        </w:trPr>
        <w:tc>
          <w:tcPr>
            <w:tcW w:w="3260" w:type="dxa"/>
            <w:gridSpan w:val="3"/>
            <w:tcBorders>
              <w:top w:val="nil"/>
              <w:left w:val="nil"/>
              <w:bottom w:val="single" w:color="000000" w:sz="4" w:space="0"/>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部门：河南省新乡市封丘县审计局</w:t>
            </w:r>
          </w:p>
        </w:tc>
        <w:tc>
          <w:tcPr>
            <w:tcW w:w="11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80" w:type="dxa"/>
            <w:gridSpan w:val="2"/>
            <w:tcBorders>
              <w:top w:val="nil"/>
              <w:left w:val="nil"/>
              <w:bottom w:val="single" w:color="000000" w:sz="4" w:space="0"/>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9" w:hRule="atLeast"/>
        </w:trPr>
        <w:tc>
          <w:tcPr>
            <w:tcW w:w="6960"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预算数</w:t>
            </w:r>
          </w:p>
        </w:tc>
        <w:tc>
          <w:tcPr>
            <w:tcW w:w="6980" w:type="dxa"/>
            <w:gridSpan w:val="6"/>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Layout w:type="fixed"/>
          <w:tblCellMar>
            <w:top w:w="0" w:type="dxa"/>
            <w:left w:w="108" w:type="dxa"/>
            <w:bottom w:w="0" w:type="dxa"/>
            <w:right w:w="108" w:type="dxa"/>
          </w:tblCellMar>
        </w:tblPrEx>
        <w:trPr>
          <w:trHeight w:val="309" w:hRule="atLeast"/>
        </w:trPr>
        <w:tc>
          <w:tcPr>
            <w:tcW w:w="1180"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10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50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18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c>
          <w:tcPr>
            <w:tcW w:w="102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10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68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18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r>
      <w:tr>
        <w:tblPrEx>
          <w:tblLayout w:type="fixed"/>
          <w:tblCellMar>
            <w:top w:w="0" w:type="dxa"/>
            <w:left w:w="108" w:type="dxa"/>
            <w:bottom w:w="0" w:type="dxa"/>
            <w:right w:w="108" w:type="dxa"/>
          </w:tblCellMar>
        </w:tblPrEx>
        <w:trPr>
          <w:trHeight w:val="615" w:hRule="atLeast"/>
        </w:trPr>
        <w:tc>
          <w:tcPr>
            <w:tcW w:w="1180"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10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1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34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18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02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10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14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3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18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09" w:hRule="atLeast"/>
        </w:trPr>
        <w:tc>
          <w:tcPr>
            <w:tcW w:w="11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1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1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34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1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0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1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14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3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1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r>
      <w:tr>
        <w:tblPrEx>
          <w:tblLayout w:type="fixed"/>
          <w:tblCellMar>
            <w:top w:w="0" w:type="dxa"/>
            <w:left w:w="108" w:type="dxa"/>
            <w:bottom w:w="0" w:type="dxa"/>
            <w:right w:w="108" w:type="dxa"/>
          </w:tblCellMar>
        </w:tblPrEx>
        <w:trPr>
          <w:trHeight w:val="309" w:hRule="atLeast"/>
        </w:trPr>
        <w:tc>
          <w:tcPr>
            <w:tcW w:w="11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0.30</w:t>
            </w:r>
          </w:p>
        </w:tc>
        <w:tc>
          <w:tcPr>
            <w:tcW w:w="11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0.10</w:t>
            </w:r>
          </w:p>
        </w:tc>
        <w:tc>
          <w:tcPr>
            <w:tcW w:w="11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34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0.10</w:t>
            </w:r>
          </w:p>
        </w:tc>
        <w:tc>
          <w:tcPr>
            <w:tcW w:w="11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0.20</w:t>
            </w:r>
          </w:p>
        </w:tc>
        <w:tc>
          <w:tcPr>
            <w:tcW w:w="10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0.17</w:t>
            </w:r>
          </w:p>
        </w:tc>
        <w:tc>
          <w:tcPr>
            <w:tcW w:w="11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4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0.05</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3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0.05</w:t>
            </w:r>
          </w:p>
        </w:tc>
        <w:tc>
          <w:tcPr>
            <w:tcW w:w="11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r>
      <w:tr>
        <w:tblPrEx>
          <w:tblLayout w:type="fixed"/>
          <w:tblCellMar>
            <w:top w:w="0" w:type="dxa"/>
            <w:left w:w="108" w:type="dxa"/>
            <w:bottom w:w="0" w:type="dxa"/>
            <w:right w:w="108" w:type="dxa"/>
          </w:tblCellMar>
        </w:tblPrEx>
        <w:trPr>
          <w:trHeight w:val="615" w:hRule="atLeast"/>
        </w:trPr>
        <w:tc>
          <w:tcPr>
            <w:tcW w:w="13940" w:type="dxa"/>
            <w:gridSpan w:val="12"/>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注：本表反映部门本年度“三公”经费支出预决算情况。其中：预算数为“三公”经费年初预算数，决算数是包括当年一般公共预算财政拨款和以前年度结转资金安排的实际支出。</w:t>
            </w:r>
          </w:p>
        </w:tc>
      </w:tr>
    </w:tbl>
    <w:p/>
    <w:p>
      <w:pPr>
        <w:rPr>
          <w:rFonts w:ascii="仿宋_GB2312" w:hAnsi="仿宋_GB2312" w:eastAsia="仿宋_GB2312" w:cs="仿宋_GB2312"/>
          <w:sz w:val="32"/>
          <w:szCs w:val="32"/>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9"/>
        <w:tblW w:w="14606" w:type="dxa"/>
        <w:tblInd w:w="93" w:type="dxa"/>
        <w:tblLayout w:type="fixed"/>
        <w:tblCellMar>
          <w:top w:w="0" w:type="dxa"/>
          <w:left w:w="108" w:type="dxa"/>
          <w:bottom w:w="0" w:type="dxa"/>
          <w:right w:w="108" w:type="dxa"/>
        </w:tblCellMar>
      </w:tblPr>
      <w:tblGrid>
        <w:gridCol w:w="236"/>
        <w:gridCol w:w="236"/>
        <w:gridCol w:w="236"/>
        <w:gridCol w:w="2708"/>
        <w:gridCol w:w="2022"/>
        <w:gridCol w:w="1571"/>
        <w:gridCol w:w="1427"/>
        <w:gridCol w:w="1571"/>
        <w:gridCol w:w="1365"/>
        <w:gridCol w:w="3234"/>
      </w:tblGrid>
      <w:tr>
        <w:tblPrEx>
          <w:tblLayout w:type="fixed"/>
          <w:tblCellMar>
            <w:top w:w="0" w:type="dxa"/>
            <w:left w:w="108" w:type="dxa"/>
            <w:bottom w:w="0" w:type="dxa"/>
            <w:right w:w="108" w:type="dxa"/>
          </w:tblCellMar>
        </w:tblPrEx>
        <w:trPr>
          <w:trHeight w:val="384" w:hRule="atLeast"/>
        </w:trPr>
        <w:tc>
          <w:tcPr>
            <w:tcW w:w="14606" w:type="dxa"/>
            <w:gridSpan w:val="10"/>
            <w:tcBorders>
              <w:top w:val="nil"/>
              <w:left w:val="nil"/>
              <w:bottom w:val="nil"/>
              <w:right w:val="nil"/>
            </w:tcBorders>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blPrEx>
          <w:tblLayout w:type="fixed"/>
          <w:tblCellMar>
            <w:top w:w="0" w:type="dxa"/>
            <w:left w:w="108" w:type="dxa"/>
            <w:bottom w:w="0" w:type="dxa"/>
            <w:right w:w="108" w:type="dxa"/>
          </w:tblCellMar>
        </w:tblPrEx>
        <w:trPr>
          <w:trHeight w:val="264" w:hRule="atLeast"/>
        </w:trPr>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34"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blPrEx>
          <w:tblLayout w:type="fixed"/>
          <w:tblCellMar>
            <w:top w:w="0" w:type="dxa"/>
            <w:left w:w="108" w:type="dxa"/>
            <w:bottom w:w="0" w:type="dxa"/>
            <w:right w:w="108" w:type="dxa"/>
          </w:tblCellMar>
        </w:tblPrEx>
        <w:trPr>
          <w:trHeight w:val="264" w:hRule="atLeast"/>
        </w:trPr>
        <w:tc>
          <w:tcPr>
            <w:tcW w:w="3416" w:type="dxa"/>
            <w:gridSpan w:val="4"/>
            <w:tcBorders>
              <w:top w:val="nil"/>
              <w:left w:val="nil"/>
              <w:bottom w:val="single" w:color="000000" w:sz="4" w:space="0"/>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部门：河南省新乡市封丘县审计局</w:t>
            </w:r>
          </w:p>
        </w:tc>
        <w:tc>
          <w:tcPr>
            <w:tcW w:w="20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34"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9" w:hRule="atLeast"/>
        </w:trPr>
        <w:tc>
          <w:tcPr>
            <w:tcW w:w="3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2022"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年初结转和结余</w:t>
            </w:r>
          </w:p>
        </w:tc>
        <w:tc>
          <w:tcPr>
            <w:tcW w:w="157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w:t>
            </w:r>
          </w:p>
        </w:tc>
        <w:tc>
          <w:tcPr>
            <w:tcW w:w="436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c>
          <w:tcPr>
            <w:tcW w:w="323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年末结转和结余</w:t>
            </w:r>
          </w:p>
        </w:tc>
      </w:tr>
      <w:tr>
        <w:tblPrEx>
          <w:tblLayout w:type="fixed"/>
          <w:tblCellMar>
            <w:top w:w="0" w:type="dxa"/>
            <w:left w:w="108" w:type="dxa"/>
            <w:bottom w:w="0" w:type="dxa"/>
            <w:right w:w="108" w:type="dxa"/>
          </w:tblCellMar>
        </w:tblPrEx>
        <w:trPr>
          <w:trHeight w:val="312" w:hRule="atLeast"/>
        </w:trPr>
        <w:tc>
          <w:tcPr>
            <w:tcW w:w="70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270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2022"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57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42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57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36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323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70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270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2022"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57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427"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57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36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323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70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270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2022"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57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427"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57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36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323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09" w:hRule="atLeast"/>
        </w:trPr>
        <w:tc>
          <w:tcPr>
            <w:tcW w:w="3416"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02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5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4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5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3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32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Layout w:type="fixed"/>
          <w:tblCellMar>
            <w:top w:w="0" w:type="dxa"/>
            <w:left w:w="108" w:type="dxa"/>
            <w:bottom w:w="0" w:type="dxa"/>
            <w:right w:w="108" w:type="dxa"/>
          </w:tblCellMar>
        </w:tblPrEx>
        <w:trPr>
          <w:trHeight w:val="309" w:hRule="atLeast"/>
        </w:trPr>
        <w:tc>
          <w:tcPr>
            <w:tcW w:w="3416"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20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5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4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5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32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Layout w:type="fixed"/>
          <w:tblCellMar>
            <w:top w:w="0" w:type="dxa"/>
            <w:left w:w="108" w:type="dxa"/>
            <w:bottom w:w="0" w:type="dxa"/>
            <w:right w:w="108" w:type="dxa"/>
          </w:tblCellMar>
        </w:tblPrEx>
        <w:trPr>
          <w:trHeight w:val="309" w:hRule="atLeast"/>
        </w:trPr>
        <w:tc>
          <w:tcPr>
            <w:tcW w:w="7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7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2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9" w:hRule="atLeast"/>
        </w:trPr>
        <w:tc>
          <w:tcPr>
            <w:tcW w:w="7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7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2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9" w:hRule="atLeast"/>
        </w:trPr>
        <w:tc>
          <w:tcPr>
            <w:tcW w:w="7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7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2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9" w:hRule="atLeast"/>
        </w:trPr>
        <w:tc>
          <w:tcPr>
            <w:tcW w:w="708"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70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2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7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7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2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9" w:hRule="atLeast"/>
        </w:trPr>
        <w:tc>
          <w:tcPr>
            <w:tcW w:w="708"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70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2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7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7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2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9" w:hRule="atLeast"/>
        </w:trPr>
        <w:tc>
          <w:tcPr>
            <w:tcW w:w="708"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70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2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7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7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2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9" w:hRule="atLeast"/>
        </w:trPr>
        <w:tc>
          <w:tcPr>
            <w:tcW w:w="14606" w:type="dxa"/>
            <w:gridSpan w:val="10"/>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注：本表反映部门本年度政府性基金预算财政拨款收入、支出及结转和结余情况。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第三部分</w:t>
      </w:r>
    </w:p>
    <w:p>
      <w:pPr>
        <w:widowControl/>
        <w:jc w:val="center"/>
        <w:rPr>
          <w:rFonts w:ascii="黑体" w:hAnsi="黑体" w:eastAsia="黑体" w:cs="黑体"/>
          <w:sz w:val="48"/>
          <w:szCs w:val="48"/>
        </w:rPr>
      </w:pPr>
      <w:r>
        <w:rPr>
          <w:rFonts w:hint="eastAsia" w:ascii="黑体" w:hAnsi="黑体" w:eastAsia="黑体" w:cs="黑体"/>
          <w:sz w:val="48"/>
          <w:szCs w:val="48"/>
        </w:rPr>
        <w:t>2017年度部门决算情况说明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年度收、支总计均为</w:t>
      </w:r>
      <w:r>
        <w:rPr>
          <w:rFonts w:ascii="仿宋" w:eastAsia="仿宋" w:cs="仿宋"/>
          <w:sz w:val="32"/>
          <w:szCs w:val="32"/>
        </w:rPr>
        <w:t>828.89</w:t>
      </w:r>
      <w:r>
        <w:rPr>
          <w:rFonts w:hint="eastAsia" w:ascii="仿宋" w:eastAsia="仿宋" w:cs="仿宋"/>
          <w:sz w:val="32"/>
          <w:szCs w:val="32"/>
        </w:rPr>
        <w:t>万元。与</w:t>
      </w:r>
      <w:r>
        <w:rPr>
          <w:rFonts w:ascii="仿宋" w:eastAsia="仿宋" w:cs="仿宋"/>
          <w:sz w:val="32"/>
          <w:szCs w:val="32"/>
        </w:rPr>
        <w:t>2016</w:t>
      </w:r>
      <w:r>
        <w:rPr>
          <w:rFonts w:hint="eastAsia" w:ascii="仿宋" w:eastAsia="仿宋" w:cs="仿宋"/>
          <w:sz w:val="32"/>
          <w:szCs w:val="32"/>
        </w:rPr>
        <w:t>年相比，收、支总计各增加</w:t>
      </w:r>
      <w:r>
        <w:rPr>
          <w:rFonts w:ascii="仿宋" w:eastAsia="仿宋" w:cs="仿宋"/>
          <w:sz w:val="32"/>
          <w:szCs w:val="32"/>
        </w:rPr>
        <w:t>131.27</w:t>
      </w:r>
      <w:r>
        <w:rPr>
          <w:rFonts w:hint="eastAsia" w:ascii="仿宋" w:eastAsia="仿宋" w:cs="仿宋"/>
          <w:sz w:val="32"/>
          <w:szCs w:val="32"/>
        </w:rPr>
        <w:t>万元，增长</w:t>
      </w:r>
      <w:r>
        <w:rPr>
          <w:rFonts w:ascii="仿宋" w:eastAsia="仿宋" w:cs="仿宋"/>
          <w:sz w:val="32"/>
          <w:szCs w:val="32"/>
        </w:rPr>
        <w:t>18.82%</w:t>
      </w:r>
      <w:r>
        <w:rPr>
          <w:rFonts w:hint="eastAsia" w:ascii="仿宋" w:eastAsia="仿宋" w:cs="仿宋"/>
          <w:sz w:val="32"/>
          <w:szCs w:val="32"/>
        </w:rPr>
        <w:t>。主要原因是行政事业单位在职人员工资标准、社会保障标准调整等，基本支出收支预算增加。</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二、收入决算情况说明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年度收入合计</w:t>
      </w:r>
      <w:r>
        <w:rPr>
          <w:rFonts w:ascii="仿宋" w:eastAsia="仿宋" w:cs="仿宋"/>
          <w:sz w:val="32"/>
          <w:szCs w:val="32"/>
        </w:rPr>
        <w:t>538.95</w:t>
      </w:r>
      <w:r>
        <w:rPr>
          <w:rFonts w:hint="eastAsia" w:ascii="仿宋" w:eastAsia="仿宋" w:cs="仿宋"/>
          <w:sz w:val="32"/>
          <w:szCs w:val="32"/>
        </w:rPr>
        <w:t>万元，其中：财政拨款收入</w:t>
      </w:r>
      <w:r>
        <w:rPr>
          <w:rFonts w:ascii="仿宋" w:eastAsia="仿宋" w:cs="仿宋"/>
          <w:sz w:val="32"/>
          <w:szCs w:val="32"/>
        </w:rPr>
        <w:t>538.94</w:t>
      </w:r>
      <w:r>
        <w:rPr>
          <w:rFonts w:hint="eastAsia" w:ascii="仿宋" w:eastAsia="仿宋" w:cs="仿宋"/>
          <w:sz w:val="32"/>
          <w:szCs w:val="32"/>
        </w:rPr>
        <w:t>万元，占</w:t>
      </w:r>
      <w:r>
        <w:rPr>
          <w:rFonts w:ascii="仿宋" w:eastAsia="仿宋" w:cs="仿宋"/>
          <w:sz w:val="32"/>
          <w:szCs w:val="32"/>
        </w:rPr>
        <w:t>100%</w:t>
      </w:r>
      <w:r>
        <w:rPr>
          <w:rFonts w:hint="eastAsia" w:ascii="仿宋" w:eastAsia="仿宋" w:cs="仿宋"/>
          <w:sz w:val="32"/>
          <w:szCs w:val="32"/>
        </w:rPr>
        <w:t>；上级补助收入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；事业收入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；经营收入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；附属单位上缴收入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；其他收入</w:t>
      </w:r>
      <w:r>
        <w:rPr>
          <w:rFonts w:ascii="仿宋" w:eastAsia="仿宋" w:cs="仿宋"/>
          <w:sz w:val="32"/>
          <w:szCs w:val="32"/>
        </w:rPr>
        <w:t>0.01</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三、支出决算情况说明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年度支出合计</w:t>
      </w:r>
      <w:r>
        <w:rPr>
          <w:rFonts w:ascii="仿宋" w:eastAsia="仿宋" w:cs="仿宋"/>
          <w:sz w:val="32"/>
          <w:szCs w:val="32"/>
        </w:rPr>
        <w:t>538.71</w:t>
      </w:r>
      <w:r>
        <w:rPr>
          <w:rFonts w:hint="eastAsia" w:ascii="仿宋" w:eastAsia="仿宋" w:cs="仿宋"/>
          <w:sz w:val="32"/>
          <w:szCs w:val="32"/>
        </w:rPr>
        <w:t>万元，其中：基本支出</w:t>
      </w:r>
      <w:r>
        <w:rPr>
          <w:rFonts w:ascii="仿宋" w:eastAsia="仿宋" w:cs="仿宋"/>
          <w:sz w:val="32"/>
          <w:szCs w:val="32"/>
        </w:rPr>
        <w:t>538.71</w:t>
      </w:r>
      <w:r>
        <w:rPr>
          <w:rFonts w:hint="eastAsia" w:ascii="仿宋" w:eastAsia="仿宋" w:cs="仿宋"/>
          <w:sz w:val="32"/>
          <w:szCs w:val="32"/>
        </w:rPr>
        <w:t>万元，占</w:t>
      </w:r>
      <w:r>
        <w:rPr>
          <w:rFonts w:ascii="仿宋" w:eastAsia="仿宋" w:cs="仿宋"/>
          <w:sz w:val="32"/>
          <w:szCs w:val="32"/>
        </w:rPr>
        <w:t>100%</w:t>
      </w:r>
      <w:r>
        <w:rPr>
          <w:rFonts w:hint="eastAsia" w:ascii="仿宋" w:eastAsia="仿宋" w:cs="仿宋"/>
          <w:sz w:val="32"/>
          <w:szCs w:val="32"/>
        </w:rPr>
        <w:t>；项目支出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；上缴上级支出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；经营支出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；对附属单位支出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年财政拨款收、支总计均为</w:t>
      </w:r>
      <w:r>
        <w:rPr>
          <w:rFonts w:ascii="仿宋" w:eastAsia="仿宋" w:cs="仿宋"/>
          <w:sz w:val="32"/>
          <w:szCs w:val="32"/>
        </w:rPr>
        <w:t>828.88</w:t>
      </w:r>
      <w:r>
        <w:rPr>
          <w:rFonts w:hint="eastAsia" w:ascii="仿宋" w:eastAsia="仿宋" w:cs="仿宋"/>
          <w:sz w:val="32"/>
          <w:szCs w:val="32"/>
        </w:rPr>
        <w:t>万元。与</w:t>
      </w:r>
      <w:r>
        <w:rPr>
          <w:rFonts w:ascii="仿宋" w:eastAsia="仿宋" w:cs="仿宋"/>
          <w:sz w:val="32"/>
          <w:szCs w:val="32"/>
        </w:rPr>
        <w:t>2016</w:t>
      </w:r>
      <w:r>
        <w:rPr>
          <w:rFonts w:hint="eastAsia" w:ascii="仿宋" w:eastAsia="仿宋" w:cs="仿宋"/>
          <w:sz w:val="32"/>
          <w:szCs w:val="32"/>
        </w:rPr>
        <w:t>年相比，财政拨款收、支总计各增加</w:t>
      </w:r>
      <w:r>
        <w:rPr>
          <w:rFonts w:ascii="仿宋" w:eastAsia="仿宋" w:cs="仿宋"/>
          <w:sz w:val="32"/>
          <w:szCs w:val="32"/>
        </w:rPr>
        <w:t>157.14</w:t>
      </w:r>
      <w:r>
        <w:rPr>
          <w:rFonts w:hint="eastAsia" w:ascii="仿宋" w:eastAsia="仿宋" w:cs="仿宋"/>
          <w:sz w:val="32"/>
          <w:szCs w:val="32"/>
        </w:rPr>
        <w:t>万元，增长</w:t>
      </w:r>
      <w:r>
        <w:rPr>
          <w:rFonts w:ascii="仿宋" w:eastAsia="仿宋" w:cs="仿宋"/>
          <w:sz w:val="32"/>
          <w:szCs w:val="32"/>
        </w:rPr>
        <w:t>23.39%</w:t>
      </w:r>
      <w:r>
        <w:rPr>
          <w:rFonts w:hint="eastAsia" w:ascii="仿宋" w:eastAsia="仿宋" w:cs="仿宋"/>
          <w:sz w:val="32"/>
          <w:szCs w:val="32"/>
        </w:rPr>
        <w:t>。主要原因是行政事业单位在职人员工资标准、社会保障标准调整等。</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（一）总体情况。</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年一般公共预算财政拨款支出</w:t>
      </w:r>
      <w:r>
        <w:rPr>
          <w:rFonts w:ascii="仿宋" w:eastAsia="仿宋" w:cs="仿宋"/>
          <w:sz w:val="32"/>
          <w:szCs w:val="32"/>
        </w:rPr>
        <w:t>538.71</w:t>
      </w:r>
      <w:r>
        <w:rPr>
          <w:rFonts w:hint="eastAsia" w:ascii="仿宋" w:eastAsia="仿宋" w:cs="仿宋"/>
          <w:sz w:val="32"/>
          <w:szCs w:val="32"/>
        </w:rPr>
        <w:t>万元，占支出合计的</w:t>
      </w:r>
      <w:r>
        <w:rPr>
          <w:rFonts w:ascii="仿宋" w:eastAsia="仿宋" w:cs="仿宋"/>
          <w:sz w:val="32"/>
          <w:szCs w:val="32"/>
        </w:rPr>
        <w:t>100%</w:t>
      </w:r>
      <w:r>
        <w:rPr>
          <w:rFonts w:hint="eastAsia" w:ascii="仿宋" w:eastAsia="仿宋" w:cs="仿宋"/>
          <w:sz w:val="32"/>
          <w:szCs w:val="32"/>
        </w:rPr>
        <w:t>。与</w:t>
      </w:r>
      <w:r>
        <w:rPr>
          <w:rFonts w:ascii="仿宋" w:eastAsia="仿宋" w:cs="仿宋"/>
          <w:sz w:val="32"/>
          <w:szCs w:val="32"/>
        </w:rPr>
        <w:t>2016</w:t>
      </w:r>
      <w:r>
        <w:rPr>
          <w:rFonts w:hint="eastAsia" w:ascii="仿宋" w:eastAsia="仿宋" w:cs="仿宋"/>
          <w:sz w:val="32"/>
          <w:szCs w:val="32"/>
        </w:rPr>
        <w:t>年相比，一般公共预算财政拨款支出增加</w:t>
      </w:r>
      <w:r>
        <w:rPr>
          <w:rFonts w:ascii="仿宋" w:eastAsia="仿宋" w:cs="仿宋"/>
          <w:sz w:val="32"/>
          <w:szCs w:val="32"/>
        </w:rPr>
        <w:t>131.06</w:t>
      </w:r>
      <w:r>
        <w:rPr>
          <w:rFonts w:hint="eastAsia" w:ascii="仿宋" w:eastAsia="仿宋" w:cs="仿宋"/>
          <w:sz w:val="32"/>
          <w:szCs w:val="32"/>
        </w:rPr>
        <w:t>万元，增长</w:t>
      </w:r>
      <w:r>
        <w:rPr>
          <w:rFonts w:ascii="仿宋" w:eastAsia="仿宋" w:cs="仿宋"/>
          <w:sz w:val="32"/>
          <w:szCs w:val="32"/>
        </w:rPr>
        <w:t>32.15%</w:t>
      </w:r>
      <w:r>
        <w:rPr>
          <w:rFonts w:hint="eastAsia" w:ascii="仿宋" w:eastAsia="仿宋" w:cs="仿宋"/>
          <w:sz w:val="32"/>
          <w:szCs w:val="32"/>
        </w:rPr>
        <w:t>。变动的主要原因是行政事业单位在职人员工资标准、社会保障标准调整等。</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（二）结构情况。</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年度一般公共预算财政拨款支出</w:t>
      </w:r>
      <w:r>
        <w:rPr>
          <w:rFonts w:ascii="仿宋" w:eastAsia="仿宋" w:cs="仿宋"/>
          <w:sz w:val="32"/>
          <w:szCs w:val="32"/>
        </w:rPr>
        <w:t>538.71</w:t>
      </w:r>
      <w:r>
        <w:rPr>
          <w:rFonts w:hint="eastAsia" w:ascii="仿宋" w:eastAsia="仿宋" w:cs="仿宋"/>
          <w:sz w:val="32"/>
          <w:szCs w:val="32"/>
        </w:rPr>
        <w:t>万元，主要用于以下方面：一般公共服务（类）支出</w:t>
      </w:r>
      <w:r>
        <w:rPr>
          <w:rFonts w:ascii="仿宋" w:eastAsia="仿宋" w:cs="仿宋"/>
          <w:sz w:val="32"/>
          <w:szCs w:val="32"/>
        </w:rPr>
        <w:t>493.74</w:t>
      </w:r>
      <w:r>
        <w:rPr>
          <w:rFonts w:hint="eastAsia" w:ascii="仿宋" w:eastAsia="仿宋" w:cs="仿宋"/>
          <w:sz w:val="32"/>
          <w:szCs w:val="32"/>
        </w:rPr>
        <w:t>万元，占</w:t>
      </w:r>
      <w:r>
        <w:rPr>
          <w:rFonts w:ascii="仿宋" w:eastAsia="仿宋" w:cs="仿宋"/>
          <w:sz w:val="32"/>
          <w:szCs w:val="32"/>
        </w:rPr>
        <w:t>91.65%</w:t>
      </w:r>
      <w:r>
        <w:rPr>
          <w:rFonts w:hint="eastAsia" w:ascii="仿宋" w:eastAsia="仿宋" w:cs="仿宋"/>
          <w:sz w:val="32"/>
          <w:szCs w:val="32"/>
        </w:rPr>
        <w:t>；外交（类）支出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；国防（类）支出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；公共安全（类）支出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；教育（类）支出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；科学技术（类）支出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；文化体育与传媒（类）支出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；社会保障和就业（类）支出</w:t>
      </w:r>
      <w:r>
        <w:rPr>
          <w:rFonts w:ascii="仿宋" w:eastAsia="仿宋" w:cs="仿宋"/>
          <w:sz w:val="32"/>
          <w:szCs w:val="32"/>
        </w:rPr>
        <w:t>33.04</w:t>
      </w:r>
      <w:r>
        <w:rPr>
          <w:rFonts w:hint="eastAsia" w:ascii="仿宋" w:eastAsia="仿宋" w:cs="仿宋"/>
          <w:sz w:val="32"/>
          <w:szCs w:val="32"/>
        </w:rPr>
        <w:t>万元，占</w:t>
      </w:r>
      <w:r>
        <w:rPr>
          <w:rFonts w:ascii="仿宋" w:eastAsia="仿宋" w:cs="仿宋"/>
          <w:sz w:val="32"/>
          <w:szCs w:val="32"/>
        </w:rPr>
        <w:t>6.13%</w:t>
      </w:r>
      <w:r>
        <w:rPr>
          <w:rFonts w:hint="eastAsia" w:ascii="仿宋" w:eastAsia="仿宋" w:cs="仿宋"/>
          <w:sz w:val="32"/>
          <w:szCs w:val="32"/>
        </w:rPr>
        <w:t>；医疗卫生和计划生育（类）支出</w:t>
      </w:r>
      <w:r>
        <w:rPr>
          <w:rFonts w:ascii="仿宋" w:eastAsia="仿宋" w:cs="仿宋"/>
          <w:sz w:val="32"/>
          <w:szCs w:val="32"/>
        </w:rPr>
        <w:t>10.92</w:t>
      </w:r>
      <w:r>
        <w:rPr>
          <w:rFonts w:hint="eastAsia" w:ascii="仿宋" w:eastAsia="仿宋" w:cs="仿宋"/>
          <w:sz w:val="32"/>
          <w:szCs w:val="32"/>
        </w:rPr>
        <w:t>万元，占</w:t>
      </w:r>
      <w:r>
        <w:rPr>
          <w:rFonts w:ascii="仿宋" w:eastAsia="仿宋" w:cs="仿宋"/>
          <w:sz w:val="32"/>
          <w:szCs w:val="32"/>
        </w:rPr>
        <w:t>2.03%</w:t>
      </w:r>
      <w:r>
        <w:rPr>
          <w:rFonts w:hint="eastAsia" w:ascii="仿宋" w:eastAsia="仿宋" w:cs="仿宋"/>
          <w:sz w:val="32"/>
          <w:szCs w:val="32"/>
        </w:rPr>
        <w:t>；节能环保（类）支出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；城乡社区（类）支出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；农林水（类）支出</w:t>
      </w:r>
      <w:r>
        <w:rPr>
          <w:rFonts w:ascii="仿宋" w:eastAsia="仿宋" w:cs="仿宋"/>
          <w:sz w:val="32"/>
          <w:szCs w:val="32"/>
        </w:rPr>
        <w:t>1</w:t>
      </w:r>
      <w:r>
        <w:rPr>
          <w:rFonts w:hint="eastAsia" w:ascii="仿宋" w:eastAsia="仿宋" w:cs="仿宋"/>
          <w:sz w:val="32"/>
          <w:szCs w:val="32"/>
        </w:rPr>
        <w:t>万元，占</w:t>
      </w:r>
      <w:r>
        <w:rPr>
          <w:rFonts w:ascii="仿宋" w:eastAsia="仿宋" w:cs="仿宋"/>
          <w:sz w:val="32"/>
          <w:szCs w:val="32"/>
        </w:rPr>
        <w:t>0.19%</w:t>
      </w:r>
      <w:r>
        <w:rPr>
          <w:rFonts w:hint="eastAsia" w:ascii="仿宋" w:eastAsia="仿宋" w:cs="仿宋"/>
          <w:sz w:val="32"/>
          <w:szCs w:val="32"/>
        </w:rPr>
        <w:t>；交通运输（类）支出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；资源勘探信息（类）支出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；商业服务业（类）支出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；金融（类）支出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；援助其他地区（类）支出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；国土海洋气象（类）支出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；住房保障（类）支出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；粮油物资储备（类）支出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；其他（类）支出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；债务还本（类）支出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；债务付息（类）支出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（三）具体情况。</w:t>
      </w:r>
    </w:p>
    <w:p>
      <w:pPr>
        <w:autoSpaceDE w:val="0"/>
        <w:autoSpaceDN w:val="0"/>
        <w:adjustRightInd w:val="0"/>
        <w:ind w:firstLine="640"/>
        <w:rPr>
          <w:rFonts w:ascii="仿宋" w:eastAsia="仿宋" w:cs="仿宋"/>
          <w:sz w:val="32"/>
          <w:szCs w:val="32"/>
        </w:rPr>
      </w:pPr>
      <w:r>
        <w:rPr>
          <w:rFonts w:hint="eastAsia" w:ascii="仿宋" w:eastAsia="仿宋" w:cs="仿宋"/>
          <w:sz w:val="32"/>
          <w:szCs w:val="32"/>
        </w:rPr>
        <w:t>2017年度一般公共预算财政拨款支出年初预算为739万元，支出决算为538.71万元，完成年初预算的72.9%。决算数与年初预算数存在差异的主要原因：我单位严格按照中央八项规定，厉行节约。其中：</w:t>
      </w:r>
    </w:p>
    <w:p>
      <w:pPr>
        <w:autoSpaceDE w:val="0"/>
        <w:autoSpaceDN w:val="0"/>
        <w:adjustRightInd w:val="0"/>
        <w:ind w:firstLine="640"/>
        <w:rPr>
          <w:rFonts w:ascii="仿宋" w:eastAsia="仿宋" w:cs="仿宋"/>
          <w:sz w:val="32"/>
          <w:szCs w:val="32"/>
        </w:rPr>
      </w:pPr>
      <w:r>
        <w:rPr>
          <w:rFonts w:hint="eastAsia" w:ascii="仿宋" w:eastAsia="仿宋" w:cs="仿宋"/>
          <w:b/>
          <w:bCs/>
          <w:sz w:val="32"/>
          <w:szCs w:val="32"/>
          <w:lang w:val="en-US" w:eastAsia="zh-CN"/>
        </w:rPr>
        <w:t>1、</w:t>
      </w:r>
      <w:r>
        <w:rPr>
          <w:rFonts w:hint="eastAsia" w:ascii="仿宋" w:eastAsia="仿宋" w:cs="仿宋"/>
          <w:b/>
          <w:bCs/>
          <w:sz w:val="32"/>
          <w:szCs w:val="32"/>
        </w:rPr>
        <w:t>一般公共服务（类）审计事务（款）行政运行（项）。</w:t>
      </w:r>
      <w:r>
        <w:rPr>
          <w:rFonts w:hint="eastAsia" w:ascii="仿宋" w:eastAsia="仿宋" w:cs="仿宋"/>
          <w:sz w:val="32"/>
          <w:szCs w:val="32"/>
        </w:rPr>
        <w:t>年初预算为644万元，支出决算为343.74万元，完成年初预算的53.38%。决算数小于预算数的主要原因是我单位严格按照中央八项规定，厉行节约。</w:t>
      </w:r>
    </w:p>
    <w:p>
      <w:pPr>
        <w:autoSpaceDE w:val="0"/>
        <w:autoSpaceDN w:val="0"/>
        <w:adjustRightInd w:val="0"/>
        <w:ind w:firstLine="643" w:firstLineChars="200"/>
        <w:rPr>
          <w:rFonts w:ascii="仿宋" w:eastAsia="仿宋" w:cs="仿宋"/>
          <w:sz w:val="32"/>
          <w:szCs w:val="32"/>
        </w:rPr>
      </w:pPr>
      <w:r>
        <w:rPr>
          <w:rFonts w:hint="eastAsia" w:ascii="仿宋" w:eastAsia="仿宋" w:cs="仿宋"/>
          <w:b/>
          <w:bCs/>
          <w:sz w:val="32"/>
          <w:szCs w:val="32"/>
        </w:rPr>
        <w:t>2．一般公共服务（类）审计事务（款）审计业务（项）。</w:t>
      </w:r>
      <w:r>
        <w:rPr>
          <w:rFonts w:hint="eastAsia" w:ascii="仿宋" w:eastAsia="仿宋" w:cs="仿宋"/>
          <w:sz w:val="32"/>
          <w:szCs w:val="32"/>
        </w:rPr>
        <w:t>年初预算为51.6万元，支出决算为150万元，完成年初预算的290.7%。决算数大于预算数的主要原因是审计项目增加，预算支出增加。</w:t>
      </w:r>
    </w:p>
    <w:p>
      <w:pPr>
        <w:autoSpaceDE w:val="0"/>
        <w:autoSpaceDN w:val="0"/>
        <w:adjustRightInd w:val="0"/>
        <w:ind w:firstLine="640"/>
        <w:rPr>
          <w:rFonts w:ascii="仿宋" w:eastAsia="仿宋" w:cs="仿宋"/>
          <w:color w:val="C0504D"/>
          <w:sz w:val="32"/>
          <w:szCs w:val="32"/>
        </w:rPr>
      </w:pPr>
      <w:r>
        <w:rPr>
          <w:rFonts w:hint="eastAsia" w:ascii="仿宋" w:eastAsia="仿宋" w:cs="仿宋"/>
          <w:b/>
          <w:bCs/>
          <w:sz w:val="32"/>
          <w:szCs w:val="32"/>
        </w:rPr>
        <w:t>3．社会保障和就业支出（类）行政事业单位离退休（款）机关事业单位基本养老保险缴费支出（项）。</w:t>
      </w:r>
      <w:r>
        <w:rPr>
          <w:rFonts w:hint="eastAsia" w:ascii="仿宋" w:eastAsia="仿宋" w:cs="仿宋"/>
          <w:sz w:val="32"/>
          <w:szCs w:val="32"/>
        </w:rPr>
        <w:t>年初预算为31万元，支出决算为32.19万元，完成年初预算的103.84%。决算数大于预算数的主要原因是年中养老保险缴费基数调整。</w:t>
      </w:r>
    </w:p>
    <w:p>
      <w:pPr>
        <w:autoSpaceDE w:val="0"/>
        <w:autoSpaceDN w:val="0"/>
        <w:adjustRightInd w:val="0"/>
        <w:ind w:firstLine="640"/>
        <w:rPr>
          <w:rFonts w:ascii="仿宋" w:eastAsia="仿宋" w:cs="仿宋"/>
          <w:color w:val="C0504D"/>
          <w:sz w:val="32"/>
          <w:szCs w:val="32"/>
        </w:rPr>
      </w:pPr>
      <w:r>
        <w:rPr>
          <w:rFonts w:hint="eastAsia" w:ascii="仿宋" w:eastAsia="仿宋" w:cs="仿宋"/>
          <w:b/>
          <w:bCs/>
          <w:sz w:val="32"/>
          <w:szCs w:val="32"/>
        </w:rPr>
        <w:t>4.社会保障和就业支出（类）其他社会保障和就业支出（款）其他社会保障和就业支出（项）。</w:t>
      </w:r>
      <w:r>
        <w:rPr>
          <w:rFonts w:hint="eastAsia" w:ascii="仿宋" w:eastAsia="仿宋" w:cs="仿宋"/>
          <w:sz w:val="32"/>
          <w:szCs w:val="32"/>
        </w:rPr>
        <w:t>年初预算为1万元，支出决算为0.85万元，完成年初预算的85</w:t>
      </w:r>
      <w:r>
        <w:rPr>
          <w:rFonts w:hint="eastAsia" w:ascii="仿宋" w:eastAsia="仿宋" w:cs="仿宋"/>
          <w:color w:val="000000"/>
          <w:sz w:val="32"/>
          <w:szCs w:val="32"/>
        </w:rPr>
        <w:t>%。决算数小于预算数的主要原因是社会保障和就业支出减</w:t>
      </w:r>
      <w:r>
        <w:rPr>
          <w:rFonts w:hint="eastAsia" w:ascii="仿宋" w:eastAsia="仿宋" w:cs="仿宋"/>
          <w:sz w:val="32"/>
          <w:szCs w:val="32"/>
        </w:rPr>
        <w:t>少</w:t>
      </w:r>
      <w:r>
        <w:rPr>
          <w:rFonts w:hint="eastAsia" w:ascii="仿宋" w:eastAsia="仿宋" w:cs="仿宋"/>
          <w:color w:val="C0504D"/>
          <w:sz w:val="32"/>
          <w:szCs w:val="32"/>
        </w:rPr>
        <w:t>。</w:t>
      </w:r>
    </w:p>
    <w:p>
      <w:pPr>
        <w:autoSpaceDE w:val="0"/>
        <w:autoSpaceDN w:val="0"/>
        <w:adjustRightInd w:val="0"/>
        <w:ind w:firstLine="640"/>
        <w:rPr>
          <w:rFonts w:ascii="仿宋" w:eastAsia="仿宋" w:cs="仿宋"/>
          <w:sz w:val="32"/>
          <w:szCs w:val="32"/>
        </w:rPr>
      </w:pPr>
      <w:r>
        <w:rPr>
          <w:rFonts w:hint="eastAsia" w:ascii="仿宋" w:eastAsia="仿宋" w:cs="仿宋"/>
          <w:b/>
          <w:bCs/>
          <w:sz w:val="32"/>
          <w:szCs w:val="32"/>
        </w:rPr>
        <w:t>5.医疗卫生与计划生育支出（类）行政事业单位医疗（款）行政事业单位医疗（项）。</w:t>
      </w:r>
      <w:r>
        <w:rPr>
          <w:rFonts w:hint="eastAsia" w:ascii="仿宋" w:eastAsia="仿宋" w:cs="仿宋"/>
          <w:sz w:val="32"/>
          <w:szCs w:val="32"/>
        </w:rPr>
        <w:t>年初预算为0万元，支出决算为10.92万元。决算数大于预算数的主要原因是2017年生育保险年初预算安排在保险经办机构的主管部门，实际拨付时是以单位为缴费主体据实拨付。</w:t>
      </w:r>
    </w:p>
    <w:p>
      <w:pPr>
        <w:autoSpaceDE w:val="0"/>
        <w:autoSpaceDN w:val="0"/>
        <w:adjustRightInd w:val="0"/>
        <w:ind w:firstLine="643" w:firstLineChars="200"/>
        <w:rPr>
          <w:rFonts w:ascii="仿宋" w:eastAsia="仿宋" w:cs="仿宋"/>
          <w:color w:val="000000"/>
          <w:sz w:val="32"/>
          <w:szCs w:val="32"/>
        </w:rPr>
      </w:pPr>
      <w:r>
        <w:rPr>
          <w:rFonts w:hint="eastAsia" w:ascii="仿宋" w:eastAsia="仿宋" w:cs="仿宋"/>
          <w:b/>
          <w:bCs/>
          <w:sz w:val="32"/>
          <w:szCs w:val="32"/>
        </w:rPr>
        <w:t>6.农林水支出（类）扶贫（款）其他扶贫支出（项）。</w:t>
      </w:r>
      <w:r>
        <w:rPr>
          <w:rFonts w:hint="eastAsia" w:ascii="仿宋" w:eastAsia="仿宋" w:cs="仿宋"/>
          <w:sz w:val="32"/>
          <w:szCs w:val="32"/>
        </w:rPr>
        <w:t>年初预算为0万元，支出决</w:t>
      </w:r>
      <w:r>
        <w:rPr>
          <w:rFonts w:hint="eastAsia" w:ascii="仿宋" w:eastAsia="仿宋" w:cs="仿宋"/>
          <w:color w:val="000000"/>
          <w:sz w:val="32"/>
          <w:szCs w:val="32"/>
        </w:rPr>
        <w:t>算为1万元。决算数大于预算数的主要原因是该款项未列入年初预算，按实际发生业务进行决算。</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 w:hAnsi="仿宋" w:eastAsia="仿宋" w:cs="仿宋_GB2312"/>
          <w:sz w:val="32"/>
          <w:szCs w:val="32"/>
        </w:rPr>
      </w:pPr>
      <w:r>
        <w:rPr>
          <w:rFonts w:ascii="仿宋" w:eastAsia="仿宋" w:cs="仿宋"/>
          <w:sz w:val="32"/>
          <w:szCs w:val="32"/>
        </w:rPr>
        <w:t>2017</w:t>
      </w:r>
      <w:r>
        <w:rPr>
          <w:rFonts w:hint="eastAsia" w:ascii="仿宋" w:eastAsia="仿宋" w:cs="仿宋"/>
          <w:sz w:val="32"/>
          <w:szCs w:val="32"/>
        </w:rPr>
        <w:t>年一般公共预算财政拨款基本支出</w:t>
      </w:r>
      <w:r>
        <w:rPr>
          <w:rFonts w:ascii="仿宋" w:eastAsia="仿宋" w:cs="仿宋"/>
          <w:sz w:val="32"/>
          <w:szCs w:val="32"/>
        </w:rPr>
        <w:t>538.71</w:t>
      </w:r>
      <w:r>
        <w:rPr>
          <w:rFonts w:hint="eastAsia" w:ascii="仿宋" w:eastAsia="仿宋" w:cs="仿宋"/>
          <w:sz w:val="32"/>
          <w:szCs w:val="32"/>
        </w:rPr>
        <w:t>万元。与</w:t>
      </w:r>
      <w:r>
        <w:rPr>
          <w:rFonts w:ascii="仿宋" w:eastAsia="仿宋" w:cs="仿宋"/>
          <w:sz w:val="32"/>
          <w:szCs w:val="32"/>
        </w:rPr>
        <w:t>2016</w:t>
      </w:r>
      <w:r>
        <w:rPr>
          <w:rFonts w:hint="eastAsia" w:ascii="仿宋" w:eastAsia="仿宋" w:cs="仿宋"/>
          <w:sz w:val="32"/>
          <w:szCs w:val="32"/>
        </w:rPr>
        <w:t>年相比，增加</w:t>
      </w:r>
      <w:r>
        <w:rPr>
          <w:rFonts w:ascii="仿宋" w:eastAsia="仿宋" w:cs="仿宋"/>
          <w:sz w:val="32"/>
          <w:szCs w:val="32"/>
        </w:rPr>
        <w:t>131.06</w:t>
      </w:r>
      <w:r>
        <w:rPr>
          <w:rFonts w:hint="eastAsia" w:ascii="仿宋" w:eastAsia="仿宋" w:cs="仿宋"/>
          <w:sz w:val="32"/>
          <w:szCs w:val="32"/>
        </w:rPr>
        <w:t>万元，增长</w:t>
      </w:r>
      <w:r>
        <w:rPr>
          <w:rFonts w:ascii="仿宋" w:eastAsia="仿宋" w:cs="仿宋"/>
          <w:sz w:val="32"/>
          <w:szCs w:val="32"/>
        </w:rPr>
        <w:t>32.15%</w:t>
      </w:r>
      <w:r>
        <w:rPr>
          <w:rFonts w:hint="eastAsia" w:ascii="仿宋" w:eastAsia="仿宋" w:cs="仿宋"/>
          <w:sz w:val="32"/>
          <w:szCs w:val="32"/>
        </w:rPr>
        <w:t>。变动的主要原因</w:t>
      </w:r>
      <w:r>
        <w:rPr>
          <w:rFonts w:hint="eastAsia" w:ascii="仿宋" w:hAnsi="仿宋" w:eastAsia="仿宋" w:cs="仿宋"/>
          <w:sz w:val="32"/>
          <w:szCs w:val="32"/>
        </w:rPr>
        <w:t>：</w:t>
      </w:r>
      <w:r>
        <w:rPr>
          <w:rFonts w:hint="eastAsia" w:ascii="仿宋" w:hAnsi="仿宋" w:eastAsia="仿宋" w:cs="仿宋_GB2312"/>
          <w:sz w:val="32"/>
          <w:szCs w:val="32"/>
        </w:rPr>
        <w:t>审计项目增加，预算支出增加。其中：人员经费291.54万元，主要包括：基本工资、津贴补贴、奖金、伙食补助费、绩效工资、机关事业单位基本养老保险缴费、其他社会保障缴费、其他工资福利支出、抚恤金、生活补助、奖励金；公用经费247.17万元，主要包括：办公费、差旅费、公务接待费、委托业务费、公务用车运行维护费、其他资本性支出、办公设备购置、信息网络及软件购置更新。</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widowControl/>
        <w:spacing w:line="590" w:lineRule="exact"/>
        <w:ind w:firstLine="640" w:firstLineChars="20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w:t>
      </w:r>
      <w:r>
        <w:rPr>
          <w:rFonts w:ascii="仿宋" w:eastAsia="仿宋" w:cs="仿宋"/>
          <w:sz w:val="32"/>
          <w:szCs w:val="32"/>
        </w:rPr>
        <w:t>“</w:t>
      </w:r>
      <w:r>
        <w:rPr>
          <w:rFonts w:hint="eastAsia" w:ascii="仿宋" w:eastAsia="仿宋" w:cs="仿宋"/>
          <w:sz w:val="32"/>
          <w:szCs w:val="32"/>
        </w:rPr>
        <w:t>三公</w:t>
      </w:r>
      <w:r>
        <w:rPr>
          <w:rFonts w:ascii="仿宋" w:eastAsia="仿宋" w:cs="仿宋"/>
          <w:sz w:val="32"/>
          <w:szCs w:val="32"/>
        </w:rPr>
        <w:t>”</w:t>
      </w:r>
      <w:r>
        <w:rPr>
          <w:rFonts w:hint="eastAsia" w:ascii="仿宋" w:eastAsia="仿宋" w:cs="仿宋"/>
          <w:sz w:val="32"/>
          <w:szCs w:val="32"/>
        </w:rPr>
        <w:t>经费财政拨款支出预算为</w:t>
      </w:r>
      <w:r>
        <w:rPr>
          <w:rFonts w:ascii="仿宋" w:eastAsia="仿宋" w:cs="仿宋"/>
          <w:sz w:val="32"/>
          <w:szCs w:val="32"/>
        </w:rPr>
        <w:t>0.3</w:t>
      </w:r>
      <w:r>
        <w:rPr>
          <w:rFonts w:hint="eastAsia" w:ascii="仿宋" w:eastAsia="仿宋" w:cs="仿宋"/>
          <w:sz w:val="32"/>
          <w:szCs w:val="32"/>
        </w:rPr>
        <w:t>万元，支出决算为</w:t>
      </w:r>
      <w:r>
        <w:rPr>
          <w:rFonts w:ascii="仿宋" w:eastAsia="仿宋" w:cs="仿宋"/>
          <w:sz w:val="32"/>
          <w:szCs w:val="32"/>
        </w:rPr>
        <w:t>0.17</w:t>
      </w:r>
      <w:r>
        <w:rPr>
          <w:rFonts w:hint="eastAsia" w:ascii="仿宋" w:eastAsia="仿宋" w:cs="仿宋"/>
          <w:sz w:val="32"/>
          <w:szCs w:val="32"/>
        </w:rPr>
        <w:t>万元，完成预算的</w:t>
      </w:r>
      <w:r>
        <w:rPr>
          <w:rFonts w:ascii="仿宋" w:eastAsia="仿宋" w:cs="仿宋"/>
          <w:sz w:val="32"/>
          <w:szCs w:val="32"/>
        </w:rPr>
        <w:t>56.57%</w:t>
      </w:r>
      <w:r>
        <w:rPr>
          <w:rFonts w:hint="eastAsia" w:ascii="仿宋" w:eastAsia="仿宋" w:cs="仿宋"/>
          <w:sz w:val="32"/>
          <w:szCs w:val="32"/>
        </w:rPr>
        <w:t>。</w:t>
      </w:r>
      <w:r>
        <w:rPr>
          <w:rFonts w:ascii="仿宋" w:eastAsia="仿宋" w:cs="仿宋"/>
          <w:sz w:val="32"/>
          <w:szCs w:val="32"/>
        </w:rPr>
        <w:t>2017</w:t>
      </w:r>
      <w:r>
        <w:rPr>
          <w:rFonts w:hint="eastAsia" w:ascii="仿宋" w:eastAsia="仿宋" w:cs="仿宋"/>
          <w:sz w:val="32"/>
          <w:szCs w:val="32"/>
        </w:rPr>
        <w:t>年度</w:t>
      </w:r>
      <w:r>
        <w:rPr>
          <w:rFonts w:ascii="仿宋" w:eastAsia="仿宋" w:cs="仿宋"/>
          <w:sz w:val="32"/>
          <w:szCs w:val="32"/>
        </w:rPr>
        <w:t>“</w:t>
      </w:r>
      <w:r>
        <w:rPr>
          <w:rFonts w:hint="eastAsia" w:ascii="仿宋" w:eastAsia="仿宋" w:cs="仿宋"/>
          <w:sz w:val="32"/>
          <w:szCs w:val="32"/>
        </w:rPr>
        <w:t>三公</w:t>
      </w:r>
      <w:r>
        <w:rPr>
          <w:rFonts w:ascii="仿宋" w:eastAsia="仿宋" w:cs="仿宋"/>
          <w:sz w:val="32"/>
          <w:szCs w:val="32"/>
        </w:rPr>
        <w:t>”</w:t>
      </w:r>
      <w:r>
        <w:rPr>
          <w:rFonts w:hint="eastAsia" w:ascii="仿宋" w:eastAsia="仿宋" w:cs="仿宋"/>
          <w:sz w:val="32"/>
          <w:szCs w:val="32"/>
        </w:rPr>
        <w:t>经费支出决算数与预算数存在差异的主要原因是严格执行中央八项规定，厉行节约，减少“三公经费”支出。</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（二）“三公”经费财政拨款支出决算具体情况说明。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w:t>
      </w:r>
      <w:r>
        <w:rPr>
          <w:rFonts w:ascii="仿宋" w:eastAsia="仿宋" w:cs="仿宋"/>
          <w:sz w:val="32"/>
          <w:szCs w:val="32"/>
        </w:rPr>
        <w:t>“</w:t>
      </w:r>
      <w:r>
        <w:rPr>
          <w:rFonts w:hint="eastAsia" w:ascii="仿宋" w:eastAsia="仿宋" w:cs="仿宋"/>
          <w:sz w:val="32"/>
          <w:szCs w:val="32"/>
        </w:rPr>
        <w:t>三公</w:t>
      </w:r>
      <w:r>
        <w:rPr>
          <w:rFonts w:ascii="仿宋" w:eastAsia="仿宋" w:cs="仿宋"/>
          <w:sz w:val="32"/>
          <w:szCs w:val="32"/>
        </w:rPr>
        <w:t>”</w:t>
      </w:r>
      <w:r>
        <w:rPr>
          <w:rFonts w:hint="eastAsia" w:ascii="仿宋" w:eastAsia="仿宋" w:cs="仿宋"/>
          <w:sz w:val="32"/>
          <w:szCs w:val="32"/>
        </w:rPr>
        <w:t>经费财政拨款支出决算中，因公出国（境）费支出决算</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，完成预算的</w:t>
      </w:r>
      <w:r>
        <w:rPr>
          <w:rFonts w:ascii="仿宋" w:eastAsia="仿宋" w:cs="仿宋"/>
          <w:sz w:val="32"/>
          <w:szCs w:val="32"/>
        </w:rPr>
        <w:t>0%</w:t>
      </w:r>
      <w:r>
        <w:rPr>
          <w:rFonts w:hint="eastAsia" w:ascii="仿宋" w:eastAsia="仿宋" w:cs="仿宋"/>
          <w:sz w:val="32"/>
          <w:szCs w:val="32"/>
        </w:rPr>
        <w:t>；公务用车购置及运行费支出决算</w:t>
      </w:r>
      <w:r>
        <w:rPr>
          <w:rFonts w:ascii="仿宋" w:eastAsia="仿宋" w:cs="仿宋"/>
          <w:sz w:val="32"/>
          <w:szCs w:val="32"/>
        </w:rPr>
        <w:t>0.05</w:t>
      </w:r>
      <w:r>
        <w:rPr>
          <w:rFonts w:hint="eastAsia" w:ascii="仿宋" w:eastAsia="仿宋" w:cs="仿宋"/>
          <w:sz w:val="32"/>
          <w:szCs w:val="32"/>
        </w:rPr>
        <w:t>万元，占</w:t>
      </w:r>
      <w:r>
        <w:rPr>
          <w:rFonts w:ascii="仿宋" w:eastAsia="仿宋" w:cs="仿宋"/>
          <w:sz w:val="32"/>
          <w:szCs w:val="32"/>
        </w:rPr>
        <w:t>31.59%</w:t>
      </w:r>
      <w:r>
        <w:rPr>
          <w:rFonts w:hint="eastAsia" w:ascii="仿宋" w:eastAsia="仿宋" w:cs="仿宋"/>
          <w:sz w:val="32"/>
          <w:szCs w:val="32"/>
        </w:rPr>
        <w:t>，完成预算的</w:t>
      </w:r>
      <w:r>
        <w:rPr>
          <w:rFonts w:ascii="仿宋" w:eastAsia="仿宋" w:cs="仿宋"/>
          <w:sz w:val="32"/>
          <w:szCs w:val="32"/>
        </w:rPr>
        <w:t>53.6%</w:t>
      </w:r>
      <w:r>
        <w:rPr>
          <w:rFonts w:hint="eastAsia" w:ascii="仿宋" w:eastAsia="仿宋" w:cs="仿宋"/>
          <w:sz w:val="32"/>
          <w:szCs w:val="32"/>
        </w:rPr>
        <w:t>；公务接待费支出决算</w:t>
      </w:r>
      <w:r>
        <w:rPr>
          <w:rFonts w:ascii="仿宋" w:eastAsia="仿宋" w:cs="仿宋"/>
          <w:sz w:val="32"/>
          <w:szCs w:val="32"/>
        </w:rPr>
        <w:t>0.12</w:t>
      </w:r>
      <w:r>
        <w:rPr>
          <w:rFonts w:hint="eastAsia" w:ascii="仿宋" w:eastAsia="仿宋" w:cs="仿宋"/>
          <w:sz w:val="32"/>
          <w:szCs w:val="32"/>
        </w:rPr>
        <w:t>万元，占</w:t>
      </w:r>
      <w:r>
        <w:rPr>
          <w:rFonts w:ascii="仿宋" w:eastAsia="仿宋" w:cs="仿宋"/>
          <w:sz w:val="32"/>
          <w:szCs w:val="32"/>
        </w:rPr>
        <w:t>68.41%</w:t>
      </w:r>
      <w:r>
        <w:rPr>
          <w:rFonts w:hint="eastAsia" w:ascii="仿宋" w:eastAsia="仿宋" w:cs="仿宋"/>
          <w:sz w:val="32"/>
          <w:szCs w:val="32"/>
        </w:rPr>
        <w:t>，完成预算的</w:t>
      </w:r>
      <w:r>
        <w:rPr>
          <w:rFonts w:ascii="仿宋" w:eastAsia="仿宋" w:cs="仿宋"/>
          <w:sz w:val="32"/>
          <w:szCs w:val="32"/>
        </w:rPr>
        <w:t>58.05%</w:t>
      </w:r>
      <w:r>
        <w:rPr>
          <w:rFonts w:hint="eastAsia" w:ascii="仿宋" w:eastAsia="仿宋" w:cs="仿宋"/>
          <w:sz w:val="32"/>
          <w:szCs w:val="32"/>
        </w:rPr>
        <w:t>。具体情况如下：</w:t>
      </w:r>
    </w:p>
    <w:p>
      <w:pPr>
        <w:widowControl/>
        <w:spacing w:line="590" w:lineRule="exact"/>
        <w:ind w:firstLine="640" w:firstLineChars="200"/>
        <w:rPr>
          <w:rFonts w:ascii="仿宋" w:eastAsia="仿宋" w:cs="仿宋"/>
          <w:sz w:val="32"/>
          <w:szCs w:val="32"/>
        </w:rPr>
      </w:pPr>
      <w:r>
        <w:rPr>
          <w:rFonts w:ascii="仿宋" w:eastAsia="仿宋" w:cs="仿宋"/>
          <w:sz w:val="32"/>
          <w:szCs w:val="32"/>
        </w:rPr>
        <w:t>1</w:t>
      </w:r>
      <w:r>
        <w:rPr>
          <w:rFonts w:hint="eastAsia" w:ascii="仿宋" w:eastAsia="仿宋" w:cs="仿宋"/>
          <w:sz w:val="32"/>
          <w:szCs w:val="32"/>
        </w:rPr>
        <w:t>．因公出国（境）费支出</w:t>
      </w:r>
      <w:r>
        <w:rPr>
          <w:rFonts w:ascii="仿宋" w:eastAsia="仿宋" w:cs="仿宋"/>
          <w:sz w:val="32"/>
          <w:szCs w:val="32"/>
        </w:rPr>
        <w:t>0</w:t>
      </w:r>
      <w:r>
        <w:rPr>
          <w:rFonts w:hint="eastAsia" w:ascii="仿宋" w:eastAsia="仿宋" w:cs="仿宋"/>
          <w:sz w:val="32"/>
          <w:szCs w:val="32"/>
        </w:rPr>
        <w:t>万元。全年安排河南省新乡市封丘县审计局机关因公出国（境）团组</w:t>
      </w:r>
      <w:r>
        <w:rPr>
          <w:rFonts w:ascii="仿宋" w:eastAsia="仿宋" w:cs="仿宋"/>
          <w:sz w:val="32"/>
          <w:szCs w:val="32"/>
        </w:rPr>
        <w:t>0</w:t>
      </w:r>
      <w:r>
        <w:rPr>
          <w:rFonts w:hint="eastAsia" w:ascii="仿宋" w:eastAsia="仿宋" w:cs="仿宋"/>
          <w:sz w:val="32"/>
          <w:szCs w:val="32"/>
        </w:rPr>
        <w:t>个，累计</w:t>
      </w:r>
      <w:r>
        <w:rPr>
          <w:rFonts w:ascii="仿宋" w:eastAsia="仿宋" w:cs="仿宋"/>
          <w:sz w:val="32"/>
          <w:szCs w:val="32"/>
        </w:rPr>
        <w:t>0</w:t>
      </w:r>
      <w:r>
        <w:rPr>
          <w:rFonts w:hint="eastAsia" w:ascii="仿宋" w:eastAsia="仿宋" w:cs="仿宋"/>
          <w:sz w:val="32"/>
          <w:szCs w:val="32"/>
        </w:rPr>
        <w:t>人次。</w:t>
      </w:r>
    </w:p>
    <w:p>
      <w:pPr>
        <w:widowControl/>
        <w:spacing w:line="590" w:lineRule="exact"/>
        <w:ind w:firstLine="640" w:firstLineChars="200"/>
        <w:rPr>
          <w:rFonts w:ascii="仿宋" w:eastAsia="仿宋" w:cs="仿宋"/>
          <w:sz w:val="32"/>
          <w:szCs w:val="32"/>
        </w:rPr>
      </w:pPr>
      <w:r>
        <w:rPr>
          <w:rFonts w:hint="eastAsia" w:ascii="仿宋" w:eastAsia="仿宋" w:cs="仿宋"/>
          <w:sz w:val="32"/>
          <w:szCs w:val="32"/>
        </w:rPr>
        <w:t>因公出国（境）费支出决算比</w:t>
      </w:r>
      <w:r>
        <w:rPr>
          <w:rFonts w:ascii="仿宋" w:eastAsia="仿宋" w:cs="仿宋"/>
          <w:sz w:val="32"/>
          <w:szCs w:val="32"/>
        </w:rPr>
        <w:t>2016</w:t>
      </w:r>
      <w:r>
        <w:rPr>
          <w:rFonts w:hint="eastAsia" w:ascii="仿宋" w:eastAsia="仿宋" w:cs="仿宋"/>
          <w:sz w:val="32"/>
          <w:szCs w:val="32"/>
        </w:rPr>
        <w:t>年度增加</w:t>
      </w:r>
      <w:r>
        <w:rPr>
          <w:rFonts w:ascii="仿宋" w:eastAsia="仿宋" w:cs="仿宋"/>
          <w:sz w:val="32"/>
          <w:szCs w:val="32"/>
        </w:rPr>
        <w:t>0</w:t>
      </w:r>
      <w:r>
        <w:rPr>
          <w:rFonts w:hint="eastAsia" w:ascii="仿宋" w:eastAsia="仿宋" w:cs="仿宋"/>
          <w:sz w:val="32"/>
          <w:szCs w:val="32"/>
        </w:rPr>
        <w:t>万元，增长</w:t>
      </w:r>
      <w:r>
        <w:rPr>
          <w:rFonts w:ascii="仿宋" w:eastAsia="仿宋" w:cs="仿宋"/>
          <w:sz w:val="32"/>
          <w:szCs w:val="32"/>
        </w:rPr>
        <w:t>0%</w:t>
      </w:r>
      <w:r>
        <w:rPr>
          <w:rFonts w:hint="eastAsia" w:ascii="仿宋" w:eastAsia="仿宋" w:cs="仿宋"/>
          <w:sz w:val="32"/>
          <w:szCs w:val="32"/>
        </w:rPr>
        <w:t>。</w:t>
      </w:r>
    </w:p>
    <w:p>
      <w:pPr>
        <w:autoSpaceDE w:val="0"/>
        <w:autoSpaceDN w:val="0"/>
        <w:adjustRightInd w:val="0"/>
        <w:ind w:firstLine="640"/>
        <w:jc w:val="left"/>
        <w:rPr>
          <w:rFonts w:ascii="仿宋" w:eastAsia="仿宋" w:cs="仿宋"/>
          <w:sz w:val="32"/>
          <w:szCs w:val="32"/>
        </w:rPr>
      </w:pPr>
      <w:r>
        <w:rPr>
          <w:rFonts w:hint="eastAsia" w:ascii="仿宋_GB2312" w:hAnsi="仿宋_GB2312" w:eastAsia="仿宋_GB2312" w:cs="仿宋_GB2312"/>
          <w:sz w:val="32"/>
          <w:szCs w:val="32"/>
        </w:rPr>
        <w:t>2．</w:t>
      </w:r>
      <w:r>
        <w:rPr>
          <w:rFonts w:hint="eastAsia" w:ascii="仿宋" w:eastAsia="仿宋" w:cs="仿宋"/>
          <w:sz w:val="32"/>
          <w:szCs w:val="32"/>
        </w:rPr>
        <w:t>公务用车购置及运行费支出</w:t>
      </w:r>
      <w:r>
        <w:rPr>
          <w:rFonts w:ascii="仿宋" w:eastAsia="仿宋" w:cs="仿宋"/>
          <w:sz w:val="32"/>
          <w:szCs w:val="32"/>
        </w:rPr>
        <w:t>0.05</w:t>
      </w:r>
      <w:r>
        <w:rPr>
          <w:rFonts w:hint="eastAsia" w:ascii="仿宋" w:eastAsia="仿宋" w:cs="仿宋"/>
          <w:sz w:val="32"/>
          <w:szCs w:val="32"/>
        </w:rPr>
        <w:t>万元。其中：</w:t>
      </w:r>
    </w:p>
    <w:p>
      <w:pPr>
        <w:widowControl/>
        <w:spacing w:line="590" w:lineRule="exact"/>
        <w:ind w:firstLine="640" w:firstLineChars="200"/>
        <w:rPr>
          <w:rFonts w:ascii="仿宋" w:eastAsia="仿宋" w:cs="仿宋"/>
          <w:sz w:val="32"/>
          <w:szCs w:val="32"/>
        </w:rPr>
      </w:pPr>
      <w:r>
        <w:rPr>
          <w:rFonts w:hint="eastAsia" w:ascii="仿宋" w:eastAsia="仿宋" w:cs="仿宋"/>
          <w:sz w:val="32"/>
          <w:szCs w:val="32"/>
        </w:rPr>
        <w:t>公务用车购置支出为</w:t>
      </w:r>
      <w:r>
        <w:rPr>
          <w:rFonts w:ascii="仿宋" w:eastAsia="仿宋" w:cs="仿宋"/>
          <w:sz w:val="32"/>
          <w:szCs w:val="32"/>
        </w:rPr>
        <w:t>0</w:t>
      </w:r>
      <w:r>
        <w:rPr>
          <w:rFonts w:hint="eastAsia" w:ascii="仿宋" w:eastAsia="仿宋" w:cs="仿宋"/>
          <w:sz w:val="32"/>
          <w:szCs w:val="32"/>
        </w:rPr>
        <w:t>万元，购置车辆0台。</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公务用车运行支出</w:t>
      </w:r>
      <w:r>
        <w:rPr>
          <w:rFonts w:ascii="仿宋" w:eastAsia="仿宋" w:cs="仿宋"/>
          <w:sz w:val="32"/>
          <w:szCs w:val="32"/>
        </w:rPr>
        <w:t>0.05</w:t>
      </w:r>
      <w:r>
        <w:rPr>
          <w:rFonts w:hint="eastAsia" w:ascii="仿宋" w:eastAsia="仿宋" w:cs="仿宋"/>
          <w:sz w:val="32"/>
          <w:szCs w:val="32"/>
        </w:rPr>
        <w:t>万元。主要用于开展工作所需公务用车的过路过桥费支出。</w:t>
      </w:r>
      <w:r>
        <w:rPr>
          <w:rFonts w:ascii="仿宋" w:eastAsia="仿宋" w:cs="仿宋"/>
          <w:sz w:val="32"/>
          <w:szCs w:val="32"/>
        </w:rPr>
        <w:t>2017</w:t>
      </w:r>
      <w:r>
        <w:rPr>
          <w:rFonts w:hint="eastAsia" w:ascii="仿宋" w:eastAsia="仿宋" w:cs="仿宋"/>
          <w:sz w:val="32"/>
          <w:szCs w:val="32"/>
        </w:rPr>
        <w:t>年期末，部门财政拨款公务用车保有量为</w:t>
      </w:r>
      <w:r>
        <w:rPr>
          <w:rFonts w:ascii="仿宋" w:eastAsia="仿宋" w:cs="仿宋"/>
          <w:sz w:val="32"/>
          <w:szCs w:val="32"/>
        </w:rPr>
        <w:t>2</w:t>
      </w:r>
      <w:r>
        <w:rPr>
          <w:rFonts w:hint="eastAsia" w:ascii="仿宋" w:eastAsia="仿宋" w:cs="仿宋"/>
          <w:sz w:val="32"/>
          <w:szCs w:val="32"/>
        </w:rPr>
        <w:t>辆。</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公务用车购置运行费支出决算比</w:t>
      </w:r>
      <w:r>
        <w:rPr>
          <w:rFonts w:ascii="仿宋" w:eastAsia="仿宋" w:cs="仿宋"/>
          <w:sz w:val="32"/>
          <w:szCs w:val="32"/>
        </w:rPr>
        <w:t>2016</w:t>
      </w:r>
      <w:r>
        <w:rPr>
          <w:rFonts w:hint="eastAsia" w:ascii="仿宋" w:eastAsia="仿宋" w:cs="仿宋"/>
          <w:sz w:val="32"/>
          <w:szCs w:val="32"/>
        </w:rPr>
        <w:t>年度减少</w:t>
      </w:r>
      <w:r>
        <w:rPr>
          <w:rFonts w:ascii="仿宋" w:eastAsia="仿宋" w:cs="仿宋"/>
          <w:sz w:val="32"/>
          <w:szCs w:val="32"/>
        </w:rPr>
        <w:t>0.35</w:t>
      </w:r>
      <w:r>
        <w:rPr>
          <w:rFonts w:hint="eastAsia" w:ascii="仿宋" w:eastAsia="仿宋" w:cs="仿宋"/>
          <w:sz w:val="32"/>
          <w:szCs w:val="32"/>
        </w:rPr>
        <w:t>万元，下降</w:t>
      </w:r>
      <w:r>
        <w:rPr>
          <w:rFonts w:ascii="仿宋" w:eastAsia="仿宋" w:cs="仿宋"/>
          <w:sz w:val="32"/>
          <w:szCs w:val="32"/>
        </w:rPr>
        <w:t>86.57%</w:t>
      </w:r>
      <w:r>
        <w:rPr>
          <w:rFonts w:hint="eastAsia" w:ascii="仿宋" w:eastAsia="仿宋" w:cs="仿宋"/>
          <w:sz w:val="32"/>
          <w:szCs w:val="32"/>
        </w:rPr>
        <w:t>，主要原因是严格执行中央八项规定，厉行节约，减少“三公经费”支出。</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3</w:t>
      </w:r>
      <w:r>
        <w:rPr>
          <w:rFonts w:hint="eastAsia" w:ascii="仿宋" w:eastAsia="仿宋" w:cs="仿宋"/>
          <w:sz w:val="32"/>
          <w:szCs w:val="32"/>
        </w:rPr>
        <w:t>．公务接待费支出</w:t>
      </w:r>
      <w:r>
        <w:rPr>
          <w:rFonts w:ascii="仿宋" w:eastAsia="仿宋" w:cs="仿宋"/>
          <w:sz w:val="32"/>
          <w:szCs w:val="32"/>
        </w:rPr>
        <w:t>0.12</w:t>
      </w:r>
      <w:r>
        <w:rPr>
          <w:rFonts w:hint="eastAsia" w:ascii="仿宋" w:eastAsia="仿宋" w:cs="仿宋"/>
          <w:sz w:val="32"/>
          <w:szCs w:val="32"/>
        </w:rPr>
        <w:t>万元。其中：</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外宾接待支出</w:t>
      </w:r>
      <w:r>
        <w:rPr>
          <w:rFonts w:ascii="仿宋" w:eastAsia="仿宋" w:cs="仿宋"/>
          <w:sz w:val="32"/>
          <w:szCs w:val="32"/>
        </w:rPr>
        <w:t>0</w:t>
      </w:r>
      <w:r>
        <w:rPr>
          <w:rFonts w:hint="eastAsia" w:ascii="仿宋" w:eastAsia="仿宋" w:cs="仿宋"/>
          <w:sz w:val="32"/>
          <w:szCs w:val="32"/>
        </w:rPr>
        <w:t>万元。</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其他国内公务接待支出</w:t>
      </w:r>
      <w:r>
        <w:rPr>
          <w:rFonts w:ascii="仿宋" w:eastAsia="仿宋" w:cs="仿宋"/>
          <w:sz w:val="32"/>
          <w:szCs w:val="32"/>
        </w:rPr>
        <w:t>0.12</w:t>
      </w:r>
      <w:r>
        <w:rPr>
          <w:rFonts w:hint="eastAsia" w:ascii="仿宋" w:eastAsia="仿宋" w:cs="仿宋"/>
          <w:sz w:val="32"/>
          <w:szCs w:val="32"/>
        </w:rPr>
        <w:t>万元，主要用于其他</w:t>
      </w:r>
      <w:r>
        <w:rPr>
          <w:rFonts w:ascii="仿宋" w:eastAsia="仿宋" w:cs="仿宋"/>
          <w:sz w:val="32"/>
          <w:szCs w:val="32"/>
        </w:rPr>
        <w:t>县市来检查</w:t>
      </w:r>
      <w:r>
        <w:rPr>
          <w:rFonts w:hint="eastAsia" w:ascii="仿宋" w:eastAsia="仿宋" w:cs="仿宋"/>
          <w:sz w:val="32"/>
          <w:szCs w:val="32"/>
        </w:rPr>
        <w:t>、</w:t>
      </w:r>
      <w:r>
        <w:rPr>
          <w:rFonts w:ascii="仿宋" w:eastAsia="仿宋" w:cs="仿宋"/>
          <w:sz w:val="32"/>
          <w:szCs w:val="32"/>
        </w:rPr>
        <w:t>督导</w:t>
      </w:r>
      <w:r>
        <w:rPr>
          <w:rFonts w:hint="eastAsia" w:ascii="仿宋" w:eastAsia="仿宋" w:cs="仿宋"/>
          <w:sz w:val="32"/>
          <w:szCs w:val="32"/>
        </w:rPr>
        <w:t>、</w:t>
      </w:r>
      <w:r>
        <w:rPr>
          <w:rFonts w:ascii="仿宋" w:eastAsia="仿宋" w:cs="仿宋"/>
          <w:sz w:val="32"/>
          <w:szCs w:val="32"/>
        </w:rPr>
        <w:t>学习交流等公务接待餐费支出</w:t>
      </w:r>
      <w:r>
        <w:rPr>
          <w:rFonts w:hint="eastAsia" w:ascii="仿宋" w:eastAsia="仿宋" w:cs="仿宋"/>
          <w:sz w:val="32"/>
          <w:szCs w:val="32"/>
        </w:rPr>
        <w:t>。</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公务接待费支出决算比</w:t>
      </w:r>
      <w:r>
        <w:rPr>
          <w:rFonts w:ascii="仿宋" w:eastAsia="仿宋" w:cs="仿宋"/>
          <w:sz w:val="32"/>
          <w:szCs w:val="32"/>
        </w:rPr>
        <w:t>2016</w:t>
      </w:r>
      <w:r>
        <w:rPr>
          <w:rFonts w:hint="eastAsia" w:ascii="仿宋" w:eastAsia="仿宋" w:cs="仿宋"/>
          <w:sz w:val="32"/>
          <w:szCs w:val="32"/>
        </w:rPr>
        <w:t>年度减少</w:t>
      </w:r>
      <w:r>
        <w:rPr>
          <w:rFonts w:ascii="仿宋" w:eastAsia="仿宋" w:cs="仿宋"/>
          <w:sz w:val="32"/>
          <w:szCs w:val="32"/>
        </w:rPr>
        <w:t>0.62</w:t>
      </w:r>
      <w:r>
        <w:rPr>
          <w:rFonts w:hint="eastAsia" w:ascii="仿宋" w:eastAsia="仿宋" w:cs="仿宋"/>
          <w:sz w:val="32"/>
          <w:szCs w:val="32"/>
        </w:rPr>
        <w:t>万元，下降</w:t>
      </w:r>
      <w:r>
        <w:rPr>
          <w:rFonts w:ascii="仿宋" w:eastAsia="仿宋" w:cs="仿宋"/>
          <w:sz w:val="32"/>
          <w:szCs w:val="32"/>
        </w:rPr>
        <w:t>84.14%</w:t>
      </w:r>
      <w:r>
        <w:rPr>
          <w:rFonts w:hint="eastAsia" w:ascii="仿宋" w:eastAsia="仿宋" w:cs="仿宋"/>
          <w:sz w:val="32"/>
          <w:szCs w:val="32"/>
        </w:rPr>
        <w:t>，主要原因是严格执行中央八项规定，厉行节约，减少“三公经费”支出。</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河南省新乡市封丘县审计局</w:t>
      </w:r>
      <w:r>
        <w:rPr>
          <w:rFonts w:ascii="仿宋" w:eastAsia="仿宋" w:cs="仿宋"/>
          <w:sz w:val="32"/>
          <w:szCs w:val="32"/>
        </w:rPr>
        <w:t>2017</w:t>
      </w:r>
      <w:r>
        <w:rPr>
          <w:rFonts w:hint="eastAsia" w:ascii="仿宋" w:eastAsia="仿宋" w:cs="仿宋"/>
          <w:sz w:val="32"/>
          <w:szCs w:val="32"/>
        </w:rPr>
        <w:t>年度共接待国内来访团组</w:t>
      </w:r>
      <w:r>
        <w:rPr>
          <w:rFonts w:ascii="仿宋" w:eastAsia="仿宋" w:cs="仿宋"/>
          <w:sz w:val="32"/>
          <w:szCs w:val="32"/>
        </w:rPr>
        <w:t>3</w:t>
      </w:r>
      <w:r>
        <w:rPr>
          <w:rFonts w:hint="eastAsia" w:ascii="仿宋" w:eastAsia="仿宋" w:cs="仿宋"/>
          <w:sz w:val="32"/>
          <w:szCs w:val="32"/>
        </w:rPr>
        <w:t>个、来访人员</w:t>
      </w:r>
      <w:r>
        <w:rPr>
          <w:rFonts w:ascii="仿宋" w:eastAsia="仿宋" w:cs="仿宋"/>
          <w:sz w:val="32"/>
          <w:szCs w:val="32"/>
        </w:rPr>
        <w:t>16</w:t>
      </w:r>
      <w:r>
        <w:rPr>
          <w:rFonts w:hint="eastAsia" w:ascii="仿宋" w:eastAsia="仿宋" w:cs="仿宋"/>
          <w:sz w:val="32"/>
          <w:szCs w:val="32"/>
        </w:rPr>
        <w:t>人次（不包括陪同人员）。</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（一）绩效管理工作开展情况。</w:t>
      </w:r>
    </w:p>
    <w:p>
      <w:pPr>
        <w:widowControl/>
        <w:spacing w:line="590" w:lineRule="exact"/>
        <w:ind w:firstLine="640" w:firstLineChars="200"/>
        <w:rPr>
          <w:rFonts w:ascii="仿宋" w:eastAsia="仿宋" w:cs="仿宋"/>
          <w:sz w:val="32"/>
          <w:szCs w:val="32"/>
        </w:rPr>
      </w:pPr>
      <w:r>
        <w:rPr>
          <w:rFonts w:hint="eastAsia" w:ascii="仿宋" w:eastAsia="仿宋" w:cs="仿宋"/>
          <w:sz w:val="32"/>
          <w:szCs w:val="32"/>
        </w:rPr>
        <w:t>我单位没有纳入绩效考核的项目。</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（二）项目绩效自评结果。</w:t>
      </w:r>
    </w:p>
    <w:p>
      <w:pPr>
        <w:widowControl/>
        <w:spacing w:line="590" w:lineRule="exact"/>
        <w:ind w:firstLine="640" w:firstLineChars="200"/>
        <w:rPr>
          <w:rFonts w:ascii="仿宋" w:eastAsia="仿宋" w:cs="仿宋"/>
          <w:sz w:val="32"/>
          <w:szCs w:val="32"/>
        </w:rPr>
      </w:pPr>
      <w:r>
        <w:rPr>
          <w:rFonts w:hint="eastAsia" w:ascii="仿宋" w:eastAsia="仿宋" w:cs="仿宋"/>
          <w:sz w:val="32"/>
          <w:szCs w:val="32"/>
        </w:rPr>
        <w:t>我单位无纳入绩效考核的项目，无项目绩效自评情况。</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年度政府性基金预算财政拨款支出年初预算为</w:t>
      </w:r>
      <w:r>
        <w:rPr>
          <w:rFonts w:ascii="仿宋" w:eastAsia="仿宋" w:cs="仿宋"/>
          <w:sz w:val="32"/>
          <w:szCs w:val="32"/>
        </w:rPr>
        <w:t>0</w:t>
      </w:r>
      <w:r>
        <w:rPr>
          <w:rFonts w:hint="eastAsia" w:ascii="仿宋" w:eastAsia="仿宋" w:cs="仿宋"/>
          <w:sz w:val="32"/>
          <w:szCs w:val="32"/>
        </w:rPr>
        <w:t>万元，支出决算为</w:t>
      </w:r>
      <w:r>
        <w:rPr>
          <w:rFonts w:ascii="仿宋" w:eastAsia="仿宋" w:cs="仿宋"/>
          <w:sz w:val="32"/>
          <w:szCs w:val="32"/>
        </w:rPr>
        <w:t>0</w:t>
      </w:r>
      <w:r>
        <w:rPr>
          <w:rFonts w:hint="eastAsia" w:ascii="仿宋" w:eastAsia="仿宋" w:cs="仿宋"/>
          <w:sz w:val="32"/>
          <w:szCs w:val="32"/>
        </w:rPr>
        <w:t>万元，完成年初预算的</w:t>
      </w:r>
      <w:r>
        <w:rPr>
          <w:rFonts w:ascii="仿宋" w:eastAsia="仿宋" w:cs="仿宋"/>
          <w:sz w:val="32"/>
          <w:szCs w:val="32"/>
        </w:rPr>
        <w:t>0%</w:t>
      </w:r>
      <w:r>
        <w:rPr>
          <w:rFonts w:hint="eastAsia" w:ascii="仿宋" w:eastAsia="仿宋" w:cs="仿宋"/>
          <w:sz w:val="32"/>
          <w:szCs w:val="32"/>
        </w:rPr>
        <w:t>。</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ascii="黑体" w:hAnsi="黑体" w:eastAsia="黑体" w:cs="黑体"/>
          <w:sz w:val="32"/>
          <w:szCs w:val="32"/>
        </w:rPr>
      </w:pPr>
      <w:r>
        <w:rPr>
          <w:rFonts w:ascii="仿宋" w:eastAsia="仿宋" w:cs="仿宋"/>
          <w:sz w:val="32"/>
          <w:szCs w:val="32"/>
        </w:rPr>
        <w:t>2017</w:t>
      </w:r>
      <w:r>
        <w:rPr>
          <w:rFonts w:hint="eastAsia" w:ascii="仿宋" w:eastAsia="仿宋" w:cs="仿宋"/>
          <w:sz w:val="32"/>
          <w:szCs w:val="32"/>
        </w:rPr>
        <w:t>年度机关运行经费支出</w:t>
      </w:r>
      <w:r>
        <w:rPr>
          <w:rFonts w:ascii="仿宋" w:eastAsia="仿宋" w:cs="仿宋"/>
          <w:sz w:val="32"/>
          <w:szCs w:val="32"/>
        </w:rPr>
        <w:t>247.17</w:t>
      </w:r>
      <w:r>
        <w:rPr>
          <w:rFonts w:hint="eastAsia" w:ascii="仿宋" w:eastAsia="仿宋" w:cs="仿宋"/>
          <w:sz w:val="32"/>
          <w:szCs w:val="32"/>
        </w:rPr>
        <w:t>万元，较</w:t>
      </w:r>
      <w:r>
        <w:rPr>
          <w:rFonts w:ascii="仿宋" w:eastAsia="仿宋" w:cs="仿宋"/>
          <w:sz w:val="32"/>
          <w:szCs w:val="32"/>
        </w:rPr>
        <w:t>2016</w:t>
      </w:r>
      <w:r>
        <w:rPr>
          <w:rFonts w:hint="eastAsia" w:ascii="仿宋" w:eastAsia="仿宋" w:cs="仿宋"/>
          <w:sz w:val="32"/>
          <w:szCs w:val="32"/>
        </w:rPr>
        <w:t>年度增加</w:t>
      </w:r>
      <w:r>
        <w:rPr>
          <w:rFonts w:ascii="仿宋" w:eastAsia="仿宋" w:cs="仿宋"/>
          <w:sz w:val="32"/>
          <w:szCs w:val="32"/>
        </w:rPr>
        <w:t>78.33</w:t>
      </w:r>
      <w:r>
        <w:rPr>
          <w:rFonts w:hint="eastAsia" w:ascii="仿宋" w:eastAsia="仿宋" w:cs="仿宋"/>
          <w:sz w:val="32"/>
          <w:szCs w:val="32"/>
        </w:rPr>
        <w:t>万元，增长</w:t>
      </w:r>
      <w:r>
        <w:rPr>
          <w:rFonts w:ascii="仿宋" w:eastAsia="仿宋" w:cs="仿宋"/>
          <w:sz w:val="32"/>
          <w:szCs w:val="32"/>
        </w:rPr>
        <w:t>46.39%</w:t>
      </w:r>
      <w:r>
        <w:rPr>
          <w:rFonts w:hint="eastAsia" w:ascii="仿宋" w:eastAsia="仿宋" w:cs="仿宋"/>
          <w:sz w:val="32"/>
          <w:szCs w:val="32"/>
        </w:rPr>
        <w:t>。增加的主要原因是：调整机关事业单位工资标准，调整养老保险支出等。</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十一、政府采购支出情况说明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年度政府采购支出总额</w:t>
      </w:r>
      <w:r>
        <w:rPr>
          <w:rFonts w:ascii="仿宋" w:eastAsia="仿宋" w:cs="仿宋"/>
          <w:sz w:val="32"/>
          <w:szCs w:val="32"/>
        </w:rPr>
        <w:t>0</w:t>
      </w:r>
      <w:r>
        <w:rPr>
          <w:rFonts w:hint="eastAsia" w:ascii="仿宋" w:eastAsia="仿宋" w:cs="仿宋"/>
          <w:sz w:val="32"/>
          <w:szCs w:val="32"/>
        </w:rPr>
        <w:t>万元，其中：政府采购货物支出</w:t>
      </w:r>
      <w:r>
        <w:rPr>
          <w:rFonts w:ascii="仿宋" w:eastAsia="仿宋" w:cs="仿宋"/>
          <w:sz w:val="32"/>
          <w:szCs w:val="32"/>
        </w:rPr>
        <w:t>0</w:t>
      </w:r>
      <w:r>
        <w:rPr>
          <w:rFonts w:hint="eastAsia" w:ascii="仿宋" w:eastAsia="仿宋" w:cs="仿宋"/>
          <w:sz w:val="32"/>
          <w:szCs w:val="32"/>
        </w:rPr>
        <w:t>万元，政府采购工程支出</w:t>
      </w:r>
      <w:r>
        <w:rPr>
          <w:rFonts w:ascii="仿宋" w:eastAsia="仿宋" w:cs="仿宋"/>
          <w:sz w:val="32"/>
          <w:szCs w:val="32"/>
        </w:rPr>
        <w:t>0</w:t>
      </w:r>
      <w:r>
        <w:rPr>
          <w:rFonts w:hint="eastAsia" w:ascii="仿宋" w:eastAsia="仿宋" w:cs="仿宋"/>
          <w:sz w:val="32"/>
          <w:szCs w:val="32"/>
        </w:rPr>
        <w:t>万元，政府采购服务支出</w:t>
      </w:r>
      <w:r>
        <w:rPr>
          <w:rFonts w:ascii="仿宋" w:eastAsia="仿宋" w:cs="仿宋"/>
          <w:sz w:val="32"/>
          <w:szCs w:val="32"/>
        </w:rPr>
        <w:t>0</w:t>
      </w:r>
      <w:r>
        <w:rPr>
          <w:rFonts w:hint="eastAsia" w:ascii="仿宋" w:eastAsia="仿宋" w:cs="仿宋"/>
          <w:sz w:val="32"/>
          <w:szCs w:val="32"/>
        </w:rPr>
        <w:t>万元。授予中小企业合同金额0万元，占政府采购支出总额的0</w:t>
      </w:r>
      <w:r>
        <w:rPr>
          <w:rFonts w:ascii="仿宋" w:eastAsia="仿宋" w:cs="仿宋"/>
          <w:sz w:val="32"/>
          <w:szCs w:val="32"/>
        </w:rPr>
        <w:t>%</w:t>
      </w:r>
      <w:r>
        <w:rPr>
          <w:rFonts w:hint="eastAsia" w:ascii="仿宋" w:eastAsia="仿宋" w:cs="仿宋"/>
          <w:sz w:val="32"/>
          <w:szCs w:val="32"/>
        </w:rPr>
        <w:t>，其中：授予小微企业合同金额0万元，占政府采购支出总额的0</w:t>
      </w:r>
      <w:r>
        <w:rPr>
          <w:rFonts w:ascii="仿宋" w:eastAsia="仿宋" w:cs="仿宋"/>
          <w:sz w:val="32"/>
          <w:szCs w:val="32"/>
        </w:rPr>
        <w:t>%</w:t>
      </w:r>
      <w:r>
        <w:rPr>
          <w:rFonts w:hint="eastAsia" w:ascii="仿宋" w:eastAsia="仿宋" w:cs="仿宋"/>
          <w:sz w:val="32"/>
          <w:szCs w:val="32"/>
        </w:rPr>
        <w:t>。</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十二、国有资产占用情况说明</w:t>
      </w:r>
    </w:p>
    <w:p>
      <w:pPr>
        <w:autoSpaceDE w:val="0"/>
        <w:autoSpaceDN w:val="0"/>
        <w:adjustRightInd w:val="0"/>
        <w:ind w:firstLine="640" w:firstLineChars="20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年期末，河南省新乡市封丘县审计局共有车辆</w:t>
      </w:r>
      <w:r>
        <w:rPr>
          <w:rFonts w:ascii="仿宋" w:eastAsia="仿宋" w:cs="仿宋"/>
          <w:sz w:val="32"/>
          <w:szCs w:val="32"/>
        </w:rPr>
        <w:t>2</w:t>
      </w:r>
      <w:r>
        <w:rPr>
          <w:rFonts w:hint="eastAsia" w:ascii="仿宋" w:eastAsia="仿宋" w:cs="仿宋"/>
          <w:sz w:val="32"/>
          <w:szCs w:val="32"/>
        </w:rPr>
        <w:t>辆，其中：一般公务用车</w:t>
      </w:r>
      <w:r>
        <w:rPr>
          <w:rFonts w:ascii="仿宋" w:eastAsia="仿宋" w:cs="仿宋"/>
          <w:sz w:val="32"/>
          <w:szCs w:val="32"/>
        </w:rPr>
        <w:t>2</w:t>
      </w:r>
      <w:r>
        <w:rPr>
          <w:rFonts w:hint="eastAsia" w:ascii="仿宋" w:eastAsia="仿宋" w:cs="仿宋"/>
          <w:sz w:val="32"/>
          <w:szCs w:val="32"/>
        </w:rPr>
        <w:t>辆、一般执法执勤用车</w:t>
      </w:r>
      <w:r>
        <w:rPr>
          <w:rFonts w:ascii="仿宋" w:eastAsia="仿宋" w:cs="仿宋"/>
          <w:sz w:val="32"/>
          <w:szCs w:val="32"/>
        </w:rPr>
        <w:t>0</w:t>
      </w:r>
      <w:r>
        <w:rPr>
          <w:rFonts w:hint="eastAsia" w:ascii="仿宋" w:eastAsia="仿宋" w:cs="仿宋"/>
          <w:sz w:val="32"/>
          <w:szCs w:val="32"/>
        </w:rPr>
        <w:t>辆、特种专业技术用车</w:t>
      </w:r>
      <w:r>
        <w:rPr>
          <w:rFonts w:ascii="仿宋" w:eastAsia="仿宋" w:cs="仿宋"/>
          <w:sz w:val="32"/>
          <w:szCs w:val="32"/>
        </w:rPr>
        <w:t>0</w:t>
      </w:r>
      <w:r>
        <w:rPr>
          <w:rFonts w:hint="eastAsia" w:ascii="仿宋" w:eastAsia="仿宋" w:cs="仿宋"/>
          <w:sz w:val="32"/>
          <w:szCs w:val="32"/>
        </w:rPr>
        <w:t>辆，其他用车</w:t>
      </w:r>
      <w:r>
        <w:rPr>
          <w:rFonts w:ascii="仿宋" w:eastAsia="仿宋" w:cs="仿宋"/>
          <w:sz w:val="32"/>
          <w:szCs w:val="32"/>
        </w:rPr>
        <w:t>0</w:t>
      </w:r>
      <w:r>
        <w:rPr>
          <w:rFonts w:hint="eastAsia" w:ascii="仿宋" w:eastAsia="仿宋" w:cs="仿宋"/>
          <w:sz w:val="32"/>
          <w:szCs w:val="32"/>
        </w:rPr>
        <w:t>辆，其他用车主要是……；单位价值</w:t>
      </w:r>
      <w:r>
        <w:rPr>
          <w:rFonts w:ascii="仿宋" w:eastAsia="仿宋" w:cs="仿宋"/>
          <w:sz w:val="32"/>
          <w:szCs w:val="32"/>
        </w:rPr>
        <w:t>50</w:t>
      </w:r>
      <w:r>
        <w:rPr>
          <w:rFonts w:hint="eastAsia" w:ascii="仿宋" w:eastAsia="仿宋" w:cs="仿宋"/>
          <w:sz w:val="32"/>
          <w:szCs w:val="32"/>
        </w:rPr>
        <w:t>万元以上通用设备</w:t>
      </w:r>
      <w:r>
        <w:rPr>
          <w:rFonts w:ascii="仿宋" w:eastAsia="仿宋" w:cs="仿宋"/>
          <w:sz w:val="32"/>
          <w:szCs w:val="32"/>
        </w:rPr>
        <w:t>0</w:t>
      </w:r>
      <w:r>
        <w:rPr>
          <w:rFonts w:hint="eastAsia" w:ascii="仿宋" w:eastAsia="仿宋" w:cs="仿宋"/>
          <w:sz w:val="32"/>
          <w:szCs w:val="32"/>
        </w:rPr>
        <w:t>台（套），单位价值</w:t>
      </w:r>
      <w:r>
        <w:rPr>
          <w:rFonts w:ascii="仿宋" w:eastAsia="仿宋" w:cs="仿宋"/>
          <w:sz w:val="32"/>
          <w:szCs w:val="32"/>
        </w:rPr>
        <w:t>100</w:t>
      </w:r>
      <w:r>
        <w:rPr>
          <w:rFonts w:hint="eastAsia" w:ascii="仿宋" w:eastAsia="仿宋" w:cs="仿宋"/>
          <w:sz w:val="32"/>
          <w:szCs w:val="32"/>
        </w:rPr>
        <w:t>万元以上专用设备</w:t>
      </w:r>
      <w:r>
        <w:rPr>
          <w:rFonts w:ascii="仿宋" w:eastAsia="仿宋" w:cs="仿宋"/>
          <w:sz w:val="32"/>
          <w:szCs w:val="32"/>
        </w:rPr>
        <w:t>0</w:t>
      </w:r>
      <w:r>
        <w:rPr>
          <w:rFonts w:hint="eastAsia" w:ascii="仿宋" w:eastAsia="仿宋" w:cs="仿宋"/>
          <w:sz w:val="32"/>
          <w:szCs w:val="32"/>
        </w:rPr>
        <w:t>台（套）。</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十三、其他重要事项的情况说明</w:t>
      </w:r>
    </w:p>
    <w:p>
      <w:pPr>
        <w:widowControl/>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无。</w:t>
      </w:r>
    </w:p>
    <w:p>
      <w:pPr>
        <w:widowControl/>
        <w:jc w:val="left"/>
        <w:rPr>
          <w:rFonts w:ascii="楷体_GB2312" w:hAnsi="楷体_GB2312" w:eastAsia="楷体_GB2312" w:cs="楷体_GB2312"/>
          <w:sz w:val="32"/>
          <w:szCs w:val="32"/>
        </w:rPr>
      </w:pPr>
    </w:p>
    <w:p>
      <w:pPr>
        <w:widowControl/>
        <w:jc w:val="left"/>
        <w:rPr>
          <w:rFonts w:ascii="楷体_GB2312" w:hAnsi="楷体_GB2312" w:eastAsia="楷体_GB2312" w:cs="楷体_GB2312"/>
          <w:sz w:val="32"/>
          <w:szCs w:val="32"/>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第四部分　　名词解释</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黑体" w:hAnsi="仿宋_GB2312" w:eastAsia="黑体"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027"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3619D"/>
    <w:rsid w:val="000D41AB"/>
    <w:rsid w:val="004466C7"/>
    <w:rsid w:val="00470684"/>
    <w:rsid w:val="00A3619D"/>
    <w:rsid w:val="00EB568A"/>
    <w:rsid w:val="00ED2465"/>
    <w:rsid w:val="2617129F"/>
    <w:rsid w:val="4CC12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unhideWhenUsed/>
    <w:uiPriority w:val="99"/>
    <w:pPr>
      <w:jc w:val="left"/>
    </w:pPr>
    <w:rPr>
      <w:rFonts w:asciiTheme="minorHAnsi" w:hAnsiTheme="minorHAnsi" w:eastAsiaTheme="minorEastAsia" w:cstheme="minorBidi"/>
      <w:szCs w:val="24"/>
    </w:rPr>
  </w:style>
  <w:style w:type="paragraph" w:styleId="3">
    <w:name w:val="Balloon Text"/>
    <w:basedOn w:val="1"/>
    <w:link w:val="17"/>
    <w:unhideWhenUsed/>
    <w:uiPriority w:val="99"/>
    <w:rPr>
      <w:rFonts w:asciiTheme="minorHAnsi" w:hAnsiTheme="minorHAnsi" w:eastAsiaTheme="minorEastAsia" w:cstheme="minorBidi"/>
      <w:sz w:val="18"/>
      <w:szCs w:val="18"/>
    </w:rPr>
  </w:style>
  <w:style w:type="paragraph" w:styleId="4">
    <w:name w:val="footer"/>
    <w:basedOn w:val="1"/>
    <w:link w:val="1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FollowedHyperlink"/>
    <w:unhideWhenUsed/>
    <w:uiPriority w:val="99"/>
    <w:rPr>
      <w:color w:val="800080"/>
      <w:u w:val="single"/>
    </w:rPr>
  </w:style>
  <w:style w:type="character" w:styleId="8">
    <w:name w:val="Hyperlink"/>
    <w:unhideWhenUsed/>
    <w:uiPriority w:val="99"/>
    <w:rPr>
      <w:color w:val="0000FF"/>
      <w:u w:val="single"/>
    </w:rPr>
  </w:style>
  <w:style w:type="table" w:styleId="10">
    <w:name w:val="Table Grid"/>
    <w:basedOn w:val="9"/>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link w:val="5"/>
    <w:uiPriority w:val="99"/>
    <w:rPr>
      <w:sz w:val="18"/>
      <w:szCs w:val="18"/>
    </w:rPr>
  </w:style>
  <w:style w:type="character" w:customStyle="1" w:styleId="12">
    <w:name w:val="页脚 Char"/>
    <w:link w:val="4"/>
    <w:qFormat/>
    <w:uiPriority w:val="99"/>
    <w:rPr>
      <w:sz w:val="18"/>
      <w:szCs w:val="18"/>
    </w:rPr>
  </w:style>
  <w:style w:type="character" w:customStyle="1" w:styleId="13">
    <w:name w:val="批注文字 Char"/>
    <w:link w:val="2"/>
    <w:qFormat/>
    <w:uiPriority w:val="99"/>
    <w:rPr>
      <w:szCs w:val="24"/>
    </w:rPr>
  </w:style>
  <w:style w:type="character" w:customStyle="1" w:styleId="14">
    <w:name w:val="font21"/>
    <w:uiPriority w:val="0"/>
    <w:rPr>
      <w:rFonts w:hint="eastAsia" w:ascii="宋体" w:hAnsi="宋体" w:eastAsia="宋体" w:cs="宋体"/>
      <w:color w:val="000000"/>
      <w:sz w:val="22"/>
      <w:szCs w:val="22"/>
      <w:u w:val="none"/>
    </w:rPr>
  </w:style>
  <w:style w:type="character" w:customStyle="1" w:styleId="15">
    <w:name w:val="批注框文本 Char"/>
    <w:link w:val="3"/>
    <w:uiPriority w:val="99"/>
    <w:rPr>
      <w:sz w:val="18"/>
      <w:szCs w:val="18"/>
    </w:rPr>
  </w:style>
  <w:style w:type="character" w:customStyle="1" w:styleId="16">
    <w:name w:val="批注文字 Char1"/>
    <w:basedOn w:val="6"/>
    <w:link w:val="2"/>
    <w:semiHidden/>
    <w:uiPriority w:val="99"/>
    <w:rPr>
      <w:rFonts w:ascii="Times New Roman" w:hAnsi="Times New Roman" w:eastAsia="宋体" w:cs="Times New Roman"/>
    </w:rPr>
  </w:style>
  <w:style w:type="character" w:customStyle="1" w:styleId="17">
    <w:name w:val="批注框文本 Char1"/>
    <w:basedOn w:val="6"/>
    <w:link w:val="3"/>
    <w:semiHidden/>
    <w:uiPriority w:val="99"/>
    <w:rPr>
      <w:rFonts w:ascii="Times New Roman" w:hAnsi="Times New Roman" w:eastAsia="宋体" w:cs="Times New Roman"/>
      <w:sz w:val="18"/>
      <w:szCs w:val="18"/>
    </w:rPr>
  </w:style>
  <w:style w:type="character" w:customStyle="1" w:styleId="18">
    <w:name w:val="页眉 Char1"/>
    <w:basedOn w:val="6"/>
    <w:link w:val="5"/>
    <w:semiHidden/>
    <w:uiPriority w:val="99"/>
    <w:rPr>
      <w:rFonts w:ascii="Times New Roman" w:hAnsi="Times New Roman" w:eastAsia="宋体" w:cs="Times New Roman"/>
      <w:sz w:val="18"/>
      <w:szCs w:val="18"/>
    </w:rPr>
  </w:style>
  <w:style w:type="character" w:customStyle="1" w:styleId="19">
    <w:name w:val="页脚 Char1"/>
    <w:basedOn w:val="6"/>
    <w:link w:val="4"/>
    <w:semiHidden/>
    <w:uiPriority w:val="99"/>
    <w:rPr>
      <w:rFonts w:ascii="Times New Roman" w:hAnsi="Times New Roman" w:eastAsia="宋体" w:cs="Times New Roman"/>
      <w:sz w:val="18"/>
      <w:szCs w:val="18"/>
    </w:rPr>
  </w:style>
  <w:style w:type="paragraph" w:customStyle="1" w:styleId="20">
    <w:name w:val="Char Char Char Char Char Char Char"/>
    <w:basedOn w:val="1"/>
    <w:qFormat/>
    <w:uiPriority w:val="0"/>
    <w:pPr>
      <w:widowControl/>
      <w:spacing w:after="160" w:line="240" w:lineRule="exact"/>
      <w:jc w:val="left"/>
    </w:pPr>
    <w:rPr>
      <w:rFonts w:ascii="Verdana" w:hAnsi="Verdana" w:eastAsia="仿宋_GB2312"/>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2029</Words>
  <Characters>11571</Characters>
  <Lines>96</Lines>
  <Paragraphs>27</Paragraphs>
  <TotalTime>0</TotalTime>
  <ScaleCrop>false</ScaleCrop>
  <LinksUpToDate>false</LinksUpToDate>
  <CharactersWithSpaces>13573</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2018-10-19T01:29:00Z</dcterms:created>
  <dc:creator>lenovot</dc:creator>
  <cp:lastModifiedBy>jylx</cp:lastModifiedBy>
  <dcterms:modified xsi:type="dcterms:W3CDTF">2018-10-20T07:41:09Z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