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ind w:firstLine="2080" w:firstLineChars="400"/>
        <w:rPr>
          <w:rFonts w:ascii="黑体" w:hAnsi="黑体" w:eastAsia="黑体" w:cs="黑体"/>
          <w:sz w:val="52"/>
          <w:szCs w:val="52"/>
        </w:rPr>
      </w:pPr>
      <w:r>
        <w:rPr>
          <w:rFonts w:hint="eastAsia" w:ascii="黑体" w:hAnsi="黑体" w:eastAsia="黑体" w:cs="黑体"/>
          <w:sz w:val="52"/>
          <w:szCs w:val="52"/>
        </w:rPr>
        <w:t>中共封丘县委群众工作部</w:t>
      </w:r>
    </w:p>
    <w:p>
      <w:pPr>
        <w:jc w:val="center"/>
        <w:rPr>
          <w:rFonts w:ascii="黑体" w:hAnsi="黑体" w:eastAsia="黑体" w:cs="黑体"/>
          <w:sz w:val="52"/>
          <w:szCs w:val="52"/>
        </w:rPr>
      </w:pPr>
      <w:r>
        <w:rPr>
          <w:rFonts w:hint="eastAsia" w:ascii="黑体" w:hAnsi="黑体" w:eastAsia="黑体" w:cs="黑体"/>
          <w:sz w:val="52"/>
          <w:szCs w:val="52"/>
        </w:rPr>
        <w:t>2017年度部门决算</w:t>
      </w:r>
    </w:p>
    <w:p>
      <w:pPr>
        <w:jc w:val="center"/>
        <w:rPr>
          <w:rFonts w:ascii="黑体" w:hAnsi="黑体" w:eastAsia="黑体" w:cs="黑体"/>
          <w:sz w:val="52"/>
          <w:szCs w:val="52"/>
        </w:rPr>
      </w:pPr>
    </w:p>
    <w:p>
      <w:pPr>
        <w:widowControl/>
        <w:spacing w:line="360" w:lineRule="auto"/>
        <w:ind w:firstLine="640" w:firstLineChars="200"/>
        <w:jc w:val="left"/>
        <w:rPr>
          <w:rFonts w:ascii="仿宋" w:hAnsi="仿宋" w:eastAsia="仿宋" w:cs="仿宋"/>
          <w:kern w:val="0"/>
          <w:sz w:val="32"/>
          <w:szCs w:val="3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headerReference r:id="rId3" w:type="default"/>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二〇一八年十月</w:t>
      </w:r>
    </w:p>
    <w:p>
      <w:pPr>
        <w:jc w:val="center"/>
        <w:rPr>
          <w:rFonts w:ascii="黑体" w:hAnsi="黑体" w:eastAsia="黑体" w:cs="黑体"/>
          <w:sz w:val="36"/>
          <w:szCs w:val="36"/>
        </w:rPr>
      </w:pPr>
      <w:r>
        <w:rPr>
          <w:rFonts w:hint="eastAsia" w:ascii="黑体" w:hAnsi="黑体" w:eastAsia="黑体" w:cs="黑体"/>
          <w:sz w:val="36"/>
          <w:szCs w:val="36"/>
        </w:rPr>
        <w:t>目　　录</w:t>
      </w:r>
    </w:p>
    <w:p>
      <w:pPr>
        <w:rPr>
          <w:rFonts w:ascii="宋体" w:hAnsi="宋体" w:cs="宋体"/>
          <w:sz w:val="32"/>
          <w:szCs w:val="32"/>
        </w:rPr>
      </w:pPr>
      <w:r>
        <w:rPr>
          <w:rFonts w:hint="eastAsia" w:ascii="黑体" w:hAnsi="黑体" w:eastAsia="黑体" w:cs="黑体"/>
          <w:sz w:val="32"/>
          <w:szCs w:val="32"/>
        </w:rPr>
        <w:t>第一部分　</w:t>
      </w:r>
      <w:r>
        <w:rPr>
          <w:rFonts w:hint="eastAsia" w:ascii="宋体" w:hAnsi="宋体" w:cs="宋体"/>
          <w:sz w:val="32"/>
          <w:szCs w:val="32"/>
        </w:rPr>
        <w:t>中共封丘县委群众工作部概况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2017年度部门决算表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2017年度部门决算情况说明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十二、国有资产占用情况说明</w:t>
      </w:r>
    </w:p>
    <w:p>
      <w:pPr>
        <w:ind w:firstLine="640" w:firstLineChars="200"/>
        <w:jc w:val="left"/>
        <w:rPr>
          <w:rFonts w:hint="eastAsia" w:ascii="宋体" w:hAnsi="宋体" w:eastAsia="宋体" w:cs="宋体"/>
          <w:sz w:val="32"/>
          <w:szCs w:val="32"/>
          <w:lang w:val="en-US" w:eastAsia="zh-CN"/>
        </w:rPr>
      </w:pPr>
      <w:r>
        <w:rPr>
          <w:rFonts w:hint="eastAsia" w:ascii="宋体" w:hAnsi="宋体" w:cs="宋体"/>
          <w:sz w:val="32"/>
          <w:szCs w:val="32"/>
          <w:lang w:val="en-US" w:eastAsia="zh-CN"/>
        </w:rPr>
        <w:t>十三、其他需要说明的重要事项</w:t>
      </w:r>
    </w:p>
    <w:p>
      <w:pPr>
        <w:jc w:val="left"/>
        <w:rPr>
          <w:rFonts w:ascii="黑体" w:hAnsi="黑体" w:eastAsia="黑体" w:cs="黑体"/>
          <w:sz w:val="32"/>
          <w:szCs w:val="32"/>
        </w:rPr>
        <w:sectPr>
          <w:footerReference r:id="rId4" w:type="default"/>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ind w:left="1440" w:hanging="1440" w:hangingChars="300"/>
        <w:rPr>
          <w:rFonts w:hint="eastAsia" w:ascii="黑体" w:hAnsi="黑体" w:eastAsia="黑体" w:cs="黑体"/>
          <w:sz w:val="48"/>
          <w:szCs w:val="48"/>
        </w:rPr>
      </w:pPr>
    </w:p>
    <w:p>
      <w:pPr>
        <w:ind w:left="1440" w:hanging="1440" w:hangingChars="300"/>
        <w:rPr>
          <w:rFonts w:hint="eastAsia" w:ascii="黑体" w:hAnsi="黑体" w:eastAsia="黑体" w:cs="黑体"/>
          <w:sz w:val="48"/>
          <w:szCs w:val="48"/>
        </w:rPr>
      </w:pPr>
    </w:p>
    <w:p>
      <w:pPr>
        <w:ind w:left="1440" w:hanging="1440" w:hangingChars="300"/>
        <w:rPr>
          <w:rFonts w:hint="eastAsia" w:ascii="黑体" w:hAnsi="黑体" w:eastAsia="黑体" w:cs="黑体"/>
          <w:sz w:val="48"/>
          <w:szCs w:val="48"/>
        </w:rPr>
      </w:pPr>
    </w:p>
    <w:p>
      <w:pPr>
        <w:ind w:left="1440" w:hanging="1440" w:hangingChars="300"/>
        <w:rPr>
          <w:rFonts w:hint="eastAsia" w:ascii="黑体" w:hAnsi="黑体" w:eastAsia="黑体" w:cs="黑体"/>
          <w:sz w:val="48"/>
          <w:szCs w:val="48"/>
        </w:rPr>
      </w:pPr>
    </w:p>
    <w:p>
      <w:pPr>
        <w:ind w:left="1440" w:hanging="1440" w:hangingChars="300"/>
        <w:rPr>
          <w:rFonts w:hint="eastAsia" w:ascii="黑体" w:hAnsi="黑体" w:eastAsia="黑体" w:cs="黑体"/>
          <w:sz w:val="48"/>
          <w:szCs w:val="48"/>
        </w:rPr>
      </w:pPr>
    </w:p>
    <w:p>
      <w:pPr>
        <w:ind w:left="1440" w:hanging="1440" w:hangingChars="300"/>
        <w:rPr>
          <w:rFonts w:hint="eastAsia" w:ascii="黑体" w:hAnsi="黑体" w:eastAsia="黑体" w:cs="黑体"/>
          <w:sz w:val="48"/>
          <w:szCs w:val="48"/>
        </w:rPr>
      </w:pPr>
    </w:p>
    <w:p>
      <w:pPr>
        <w:ind w:left="1440" w:hanging="1440" w:hangingChars="300"/>
        <w:rPr>
          <w:rFonts w:hint="eastAsia" w:ascii="黑体" w:hAnsi="黑体" w:eastAsia="黑体" w:cs="黑体"/>
          <w:sz w:val="48"/>
          <w:szCs w:val="48"/>
        </w:rPr>
      </w:pPr>
    </w:p>
    <w:p>
      <w:pPr>
        <w:ind w:left="1440" w:hanging="1440" w:hangingChars="300"/>
        <w:rPr>
          <w:rFonts w:hint="eastAsia" w:ascii="黑体" w:hAnsi="黑体" w:eastAsia="黑体" w:cs="黑体"/>
          <w:sz w:val="48"/>
          <w:szCs w:val="48"/>
        </w:rPr>
      </w:pPr>
    </w:p>
    <w:p>
      <w:pPr>
        <w:ind w:left="1440" w:hanging="1440" w:hangingChars="300"/>
        <w:rPr>
          <w:rFonts w:hint="eastAsia" w:ascii="黑体" w:hAnsi="黑体" w:eastAsia="黑体" w:cs="黑体"/>
          <w:sz w:val="48"/>
          <w:szCs w:val="48"/>
        </w:rPr>
      </w:pPr>
    </w:p>
    <w:p>
      <w:pPr>
        <w:ind w:left="1440" w:hanging="1440" w:hangingChars="300"/>
        <w:rPr>
          <w:rFonts w:hint="eastAsia" w:ascii="黑体" w:hAnsi="黑体" w:eastAsia="黑体" w:cs="黑体"/>
          <w:sz w:val="48"/>
          <w:szCs w:val="48"/>
        </w:rPr>
      </w:pPr>
    </w:p>
    <w:p>
      <w:pPr>
        <w:ind w:left="1440" w:hanging="1440" w:hangingChars="300"/>
        <w:rPr>
          <w:rFonts w:hint="eastAsia" w:ascii="黑体" w:hAnsi="黑体" w:eastAsia="黑体" w:cs="黑体"/>
          <w:sz w:val="48"/>
          <w:szCs w:val="48"/>
        </w:rPr>
      </w:pPr>
    </w:p>
    <w:p>
      <w:pPr>
        <w:ind w:left="1440" w:hanging="1440" w:hangingChars="300"/>
        <w:rPr>
          <w:rFonts w:ascii="黑体" w:hAnsi="黑体" w:eastAsia="黑体" w:cs="黑体"/>
          <w:sz w:val="52"/>
          <w:szCs w:val="52"/>
        </w:rPr>
      </w:pPr>
      <w:r>
        <w:rPr>
          <w:rFonts w:hint="eastAsia" w:ascii="黑体" w:hAnsi="黑体" w:eastAsia="黑体" w:cs="黑体"/>
          <w:sz w:val="48"/>
          <w:szCs w:val="48"/>
        </w:rPr>
        <w:t>第一部分</w:t>
      </w:r>
      <w:r>
        <w:rPr>
          <w:rFonts w:hint="eastAsia" w:ascii="黑体" w:hAnsi="黑体" w:eastAsia="黑体" w:cs="黑体"/>
          <w:sz w:val="52"/>
          <w:szCs w:val="52"/>
        </w:rPr>
        <w:t>中共封丘县委群众</w:t>
      </w:r>
      <w:r>
        <w:rPr>
          <w:rFonts w:hint="eastAsia" w:ascii="黑体" w:hAnsi="黑体" w:eastAsia="黑体" w:cs="黑体"/>
          <w:sz w:val="52"/>
          <w:szCs w:val="52"/>
          <w:lang w:val="en-US" w:eastAsia="zh-CN"/>
        </w:rPr>
        <w:t>工作</w:t>
      </w:r>
      <w:r>
        <w:rPr>
          <w:rFonts w:hint="eastAsia" w:ascii="黑体" w:hAnsi="黑体" w:eastAsia="黑体" w:cs="黑体"/>
          <w:sz w:val="52"/>
          <w:szCs w:val="52"/>
        </w:rPr>
        <w:t>部</w:t>
      </w:r>
    </w:p>
    <w:p>
      <w:pPr>
        <w:widowControl/>
        <w:jc w:val="center"/>
        <w:rPr>
          <w:rFonts w:ascii="黑体" w:hAnsi="宋体" w:eastAsia="黑体" w:cs="宋体"/>
          <w:kern w:val="0"/>
          <w:sz w:val="28"/>
          <w:szCs w:val="28"/>
        </w:rPr>
      </w:pPr>
      <w:r>
        <w:rPr>
          <w:rFonts w:hint="eastAsia" w:ascii="黑体" w:hAnsi="黑体" w:eastAsia="黑体" w:cs="黑体"/>
          <w:sz w:val="48"/>
          <w:szCs w:val="48"/>
        </w:rPr>
        <w:t>　概况</w:t>
      </w:r>
    </w:p>
    <w:p>
      <w:pPr>
        <w:widowControl/>
        <w:jc w:val="left"/>
        <w:rPr>
          <w:rFonts w:ascii="黑体" w:hAnsi="宋体" w:eastAsia="黑体" w:cs="宋体"/>
          <w:kern w:val="0"/>
          <w:sz w:val="28"/>
          <w:szCs w:val="28"/>
        </w:rPr>
      </w:pPr>
    </w:p>
    <w:p>
      <w:pPr>
        <w:widowControl/>
        <w:spacing w:line="360" w:lineRule="auto"/>
        <w:ind w:firstLine="643" w:firstLineChars="200"/>
        <w:jc w:val="left"/>
        <w:rPr>
          <w:rFonts w:hint="eastAsia" w:ascii="宋体" w:hAnsi="宋体" w:cs="宋体"/>
          <w:b/>
          <w:bCs/>
          <w:kern w:val="0"/>
          <w:sz w:val="32"/>
          <w:szCs w:val="32"/>
        </w:rPr>
      </w:pPr>
    </w:p>
    <w:p>
      <w:pPr>
        <w:widowControl/>
        <w:spacing w:line="360" w:lineRule="auto"/>
        <w:ind w:firstLine="643" w:firstLineChars="200"/>
        <w:jc w:val="left"/>
        <w:rPr>
          <w:rFonts w:hint="eastAsia" w:ascii="宋体" w:hAnsi="宋体" w:cs="宋体"/>
          <w:b/>
          <w:bCs/>
          <w:kern w:val="0"/>
          <w:sz w:val="32"/>
          <w:szCs w:val="32"/>
        </w:rPr>
      </w:pPr>
    </w:p>
    <w:p>
      <w:pPr>
        <w:widowControl/>
        <w:spacing w:line="360" w:lineRule="auto"/>
        <w:ind w:firstLine="643" w:firstLineChars="200"/>
        <w:jc w:val="left"/>
        <w:rPr>
          <w:rFonts w:hint="eastAsia" w:ascii="宋体" w:hAnsi="宋体" w:cs="宋体"/>
          <w:b/>
          <w:bCs/>
          <w:kern w:val="0"/>
          <w:sz w:val="32"/>
          <w:szCs w:val="32"/>
        </w:rPr>
      </w:pPr>
    </w:p>
    <w:p>
      <w:pPr>
        <w:widowControl/>
        <w:spacing w:line="360" w:lineRule="auto"/>
        <w:ind w:firstLine="643" w:firstLineChars="200"/>
        <w:jc w:val="left"/>
        <w:rPr>
          <w:rFonts w:hint="eastAsia" w:ascii="宋体" w:hAnsi="宋体" w:cs="宋体"/>
          <w:b/>
          <w:bCs/>
          <w:kern w:val="0"/>
          <w:sz w:val="32"/>
          <w:szCs w:val="32"/>
        </w:rPr>
      </w:pPr>
    </w:p>
    <w:p>
      <w:pPr>
        <w:widowControl/>
        <w:spacing w:line="360" w:lineRule="auto"/>
        <w:ind w:firstLine="643" w:firstLineChars="200"/>
        <w:jc w:val="left"/>
        <w:rPr>
          <w:rFonts w:hint="eastAsia" w:ascii="宋体" w:hAnsi="宋体" w:cs="宋体"/>
          <w:b/>
          <w:bCs/>
          <w:kern w:val="0"/>
          <w:sz w:val="32"/>
          <w:szCs w:val="32"/>
        </w:rPr>
      </w:pPr>
    </w:p>
    <w:p>
      <w:pPr>
        <w:widowControl/>
        <w:spacing w:line="360" w:lineRule="auto"/>
        <w:ind w:firstLine="643" w:firstLineChars="200"/>
        <w:jc w:val="left"/>
        <w:rPr>
          <w:rFonts w:hint="eastAsia" w:ascii="宋体" w:hAnsi="宋体" w:cs="宋体"/>
          <w:b/>
          <w:bCs/>
          <w:kern w:val="0"/>
          <w:sz w:val="32"/>
          <w:szCs w:val="32"/>
        </w:rPr>
      </w:pPr>
    </w:p>
    <w:p>
      <w:pPr>
        <w:widowControl/>
        <w:spacing w:line="360" w:lineRule="auto"/>
        <w:ind w:firstLine="643" w:firstLineChars="200"/>
        <w:jc w:val="left"/>
        <w:rPr>
          <w:rFonts w:hint="eastAsia" w:ascii="宋体" w:hAnsi="宋体" w:cs="宋体"/>
          <w:b/>
          <w:bCs/>
          <w:kern w:val="0"/>
          <w:sz w:val="32"/>
          <w:szCs w:val="32"/>
        </w:rPr>
      </w:pPr>
    </w:p>
    <w:p>
      <w:pPr>
        <w:widowControl/>
        <w:spacing w:line="360" w:lineRule="auto"/>
        <w:ind w:firstLine="643" w:firstLineChars="200"/>
        <w:jc w:val="left"/>
        <w:rPr>
          <w:rFonts w:hint="eastAsia" w:ascii="宋体" w:hAnsi="宋体" w:eastAsia="宋体" w:cs="宋体"/>
          <w:b/>
          <w:bCs/>
          <w:kern w:val="0"/>
          <w:sz w:val="32"/>
          <w:szCs w:val="32"/>
          <w:lang w:eastAsia="zh-CN"/>
        </w:rPr>
      </w:pPr>
      <w:r>
        <w:rPr>
          <w:rFonts w:hint="eastAsia" w:ascii="宋体" w:hAnsi="宋体" w:cs="宋体"/>
          <w:b/>
          <w:bCs/>
          <w:kern w:val="0"/>
          <w:sz w:val="32"/>
          <w:szCs w:val="32"/>
        </w:rPr>
        <w:t>一、部门</w:t>
      </w:r>
      <w:r>
        <w:rPr>
          <w:rFonts w:hint="eastAsia" w:ascii="宋体" w:hAnsi="宋体" w:cs="宋体"/>
          <w:b/>
          <w:bCs/>
          <w:kern w:val="0"/>
          <w:sz w:val="32"/>
          <w:szCs w:val="32"/>
          <w:lang w:val="en-US" w:eastAsia="zh-CN"/>
        </w:rPr>
        <w:t>职责</w:t>
      </w:r>
    </w:p>
    <w:p>
      <w:pPr>
        <w:widowControl/>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中共封丘县委群众工作部位于封丘县东大街</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单位的主要职责是：</w:t>
      </w:r>
    </w:p>
    <w:p>
      <w:pPr>
        <w:pStyle w:val="5"/>
        <w:widowControl/>
        <w:shd w:val="clear" w:color="auto" w:fill="FFFFFF"/>
        <w:spacing w:before="0" w:beforeAutospacing="0" w:after="0" w:afterAutospacing="0" w:line="420" w:lineRule="atLeast"/>
        <w:ind w:firstLine="640" w:firstLineChars="200"/>
        <w:rPr>
          <w:rFonts w:hint="eastAsia" w:ascii="仿宋" w:hAnsi="仿宋" w:eastAsia="仿宋" w:cs="仿宋"/>
          <w:sz w:val="32"/>
          <w:szCs w:val="32"/>
        </w:rPr>
      </w:pPr>
      <w:r>
        <w:rPr>
          <w:rFonts w:hint="eastAsia" w:ascii="仿宋" w:hAnsi="仿宋" w:eastAsia="仿宋" w:cs="仿宋"/>
          <w:sz w:val="32"/>
          <w:szCs w:val="32"/>
          <w:shd w:val="clear" w:color="auto" w:fill="FFFFFF"/>
        </w:rPr>
        <w:t>（一）拟定全县有关信访工作的政策、规定，并负责组织实施。</w:t>
      </w:r>
    </w:p>
    <w:p>
      <w:pPr>
        <w:pStyle w:val="5"/>
        <w:widowControl/>
        <w:shd w:val="clear" w:color="auto" w:fill="FFFFFF"/>
        <w:spacing w:before="0" w:beforeAutospacing="0" w:after="0" w:afterAutospacing="0" w:line="420" w:lineRule="atLeast"/>
        <w:ind w:firstLine="640" w:firstLineChars="200"/>
        <w:rPr>
          <w:rFonts w:hint="eastAsia" w:ascii="仿宋" w:hAnsi="仿宋" w:eastAsia="仿宋" w:cs="仿宋"/>
          <w:sz w:val="32"/>
          <w:szCs w:val="32"/>
        </w:rPr>
      </w:pPr>
      <w:r>
        <w:rPr>
          <w:rFonts w:hint="eastAsia" w:ascii="仿宋" w:hAnsi="仿宋" w:eastAsia="仿宋" w:cs="仿宋"/>
          <w:sz w:val="32"/>
          <w:szCs w:val="32"/>
          <w:shd w:val="clear" w:color="auto" w:fill="FFFFFF"/>
        </w:rPr>
        <w:t>（二）代表县委、县政府受理人民群众给县委、县政府及主要领导人的来信，接待群众来访，为来信来访群众提供有关法律、法规和政策咨询服务。</w:t>
      </w:r>
    </w:p>
    <w:p>
      <w:pPr>
        <w:pStyle w:val="5"/>
        <w:widowControl/>
        <w:shd w:val="clear" w:color="auto" w:fill="FFFFFF"/>
        <w:spacing w:before="0" w:beforeAutospacing="0" w:after="0" w:afterAutospacing="0" w:line="420" w:lineRule="atLeast"/>
        <w:ind w:firstLine="640" w:firstLineChars="200"/>
        <w:rPr>
          <w:rFonts w:hint="eastAsia" w:ascii="仿宋" w:hAnsi="仿宋" w:eastAsia="仿宋" w:cs="仿宋"/>
          <w:sz w:val="32"/>
          <w:szCs w:val="32"/>
        </w:rPr>
      </w:pPr>
      <w:r>
        <w:rPr>
          <w:rFonts w:hint="eastAsia" w:ascii="仿宋" w:hAnsi="仿宋" w:eastAsia="仿宋" w:cs="仿宋"/>
          <w:sz w:val="32"/>
          <w:szCs w:val="32"/>
          <w:shd w:val="clear" w:color="auto" w:fill="FFFFFF"/>
        </w:rPr>
        <w:t>（三）承办上级领导机关和县委、县政府领导交办的信访事项，督促检查领导同志批示件的落实情况；向有关单位转办交办信访事项及信访案件，督促检查重要信访事项和信访案件的处理和落实；审结要结果案件。</w:t>
      </w:r>
    </w:p>
    <w:p>
      <w:pPr>
        <w:pStyle w:val="5"/>
        <w:widowControl/>
        <w:shd w:val="clear" w:color="auto" w:fill="FFFFFF"/>
        <w:spacing w:before="0" w:beforeAutospacing="0" w:after="0" w:afterAutospacing="0" w:line="420" w:lineRule="atLeast"/>
        <w:ind w:firstLine="640" w:firstLineChars="200"/>
        <w:rPr>
          <w:rFonts w:hint="eastAsia" w:ascii="仿宋" w:hAnsi="仿宋" w:eastAsia="仿宋" w:cs="仿宋"/>
          <w:sz w:val="32"/>
          <w:szCs w:val="32"/>
        </w:rPr>
      </w:pPr>
      <w:r>
        <w:rPr>
          <w:rFonts w:hint="eastAsia" w:ascii="仿宋" w:hAnsi="仿宋" w:eastAsia="仿宋" w:cs="仿宋"/>
          <w:sz w:val="32"/>
          <w:szCs w:val="32"/>
          <w:shd w:val="clear" w:color="auto" w:fill="FFFFFF"/>
        </w:rPr>
        <w:t>（四）协调处理跨区域跨部门的重要信访、群众集体赴京、赴省、来县上访和突发上访事件；对重要案件实施个案监督，并提出对有关责任人的处理意见和建议。</w:t>
      </w:r>
    </w:p>
    <w:p>
      <w:pPr>
        <w:pStyle w:val="5"/>
        <w:widowControl/>
        <w:shd w:val="clear" w:color="auto" w:fill="FFFFFF"/>
        <w:spacing w:before="0" w:beforeAutospacing="0" w:after="0" w:afterAutospacing="0" w:line="420" w:lineRule="atLeast"/>
        <w:ind w:firstLine="640" w:firstLineChars="200"/>
        <w:rPr>
          <w:rFonts w:hint="eastAsia" w:ascii="仿宋" w:hAnsi="仿宋" w:eastAsia="仿宋" w:cs="仿宋"/>
          <w:sz w:val="32"/>
          <w:szCs w:val="32"/>
        </w:rPr>
      </w:pPr>
      <w:r>
        <w:rPr>
          <w:rFonts w:hint="eastAsia" w:ascii="仿宋" w:hAnsi="仿宋" w:eastAsia="仿宋" w:cs="仿宋"/>
          <w:sz w:val="32"/>
          <w:szCs w:val="32"/>
          <w:shd w:val="clear" w:color="auto" w:fill="FFFFFF"/>
        </w:rPr>
        <w:t>（五）分析研究信访工作形势，征集群众建议，及时向县委、县政府提供信访信息，并对重要问题提出意见和建议。</w:t>
      </w:r>
    </w:p>
    <w:p>
      <w:pPr>
        <w:pStyle w:val="5"/>
        <w:widowControl/>
        <w:shd w:val="clear" w:color="auto" w:fill="FFFFFF"/>
        <w:spacing w:before="0" w:beforeAutospacing="0" w:after="0" w:afterAutospacing="0" w:line="420" w:lineRule="atLeast"/>
        <w:ind w:firstLine="640" w:firstLineChars="200"/>
        <w:rPr>
          <w:rFonts w:hint="eastAsia" w:ascii="仿宋" w:hAnsi="仿宋" w:eastAsia="仿宋" w:cs="仿宋"/>
          <w:sz w:val="32"/>
          <w:szCs w:val="32"/>
        </w:rPr>
      </w:pPr>
      <w:r>
        <w:rPr>
          <w:rFonts w:hint="eastAsia" w:ascii="仿宋" w:hAnsi="仿宋" w:eastAsia="仿宋" w:cs="仿宋"/>
          <w:sz w:val="32"/>
          <w:szCs w:val="32"/>
          <w:shd w:val="clear" w:color="auto" w:fill="FFFFFF"/>
        </w:rPr>
        <w:t>（六）指导全县信访工作，组织交流工作经验，提出改进措施；组织信访干部的培训；指导全县信访部门办公自动化建设。</w:t>
      </w:r>
    </w:p>
    <w:p>
      <w:pPr>
        <w:pStyle w:val="5"/>
        <w:widowControl/>
        <w:shd w:val="clear" w:color="auto" w:fill="FFFFFF"/>
        <w:spacing w:before="0" w:beforeAutospacing="0" w:after="0" w:afterAutospacing="0" w:line="420" w:lineRule="atLeas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（七）负责信访工作的宣传和信息发布；协调信访工作的</w:t>
      </w:r>
      <w:r>
        <w:rPr>
          <w:rFonts w:hint="eastAsia" w:ascii="仿宋" w:hAnsi="仿宋" w:eastAsia="仿宋" w:cs="仿宋"/>
          <w:sz w:val="32"/>
          <w:szCs w:val="32"/>
          <w:shd w:val="clear" w:color="auto" w:fill="FFFFFF"/>
          <w:lang w:val="en-US" w:eastAsia="zh-CN"/>
        </w:rPr>
        <w:t>实</w:t>
      </w:r>
      <w:r>
        <w:rPr>
          <w:rFonts w:hint="eastAsia" w:ascii="仿宋" w:hAnsi="仿宋" w:eastAsia="仿宋" w:cs="仿宋"/>
          <w:sz w:val="32"/>
          <w:szCs w:val="32"/>
          <w:shd w:val="clear" w:color="auto" w:fill="FFFFFF"/>
        </w:rPr>
        <w:t>际活动。</w:t>
      </w:r>
      <w:bookmarkStart w:id="0" w:name="_GoBack"/>
      <w:bookmarkEnd w:id="0"/>
    </w:p>
    <w:p>
      <w:pPr>
        <w:pStyle w:val="5"/>
        <w:widowControl/>
        <w:shd w:val="clear" w:color="auto" w:fill="FFFFFF"/>
        <w:spacing w:before="0" w:beforeAutospacing="0" w:after="0" w:afterAutospacing="0" w:line="420" w:lineRule="atLeas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（八）承办县委、县政府和县委办公室、县政府办公室交办的其他事项。</w:t>
      </w:r>
    </w:p>
    <w:p>
      <w:pPr>
        <w:pStyle w:val="5"/>
        <w:widowControl/>
        <w:shd w:val="clear" w:color="auto" w:fill="FFFFFF"/>
        <w:spacing w:before="0" w:beforeAutospacing="0" w:after="0" w:afterAutospacing="0" w:line="420" w:lineRule="atLeast"/>
        <w:ind w:firstLine="643" w:firstLineChars="200"/>
        <w:rPr>
          <w:rFonts w:hint="eastAsia" w:ascii="宋体" w:hAnsi="宋体" w:eastAsia="宋体" w:cs="宋体"/>
          <w:b/>
          <w:bCs/>
          <w:kern w:val="0"/>
          <w:sz w:val="32"/>
          <w:szCs w:val="32"/>
          <w:lang w:val="en-US" w:eastAsia="zh-CN" w:bidi="ar-SA"/>
        </w:rPr>
      </w:pPr>
      <w:r>
        <w:rPr>
          <w:rFonts w:hint="eastAsia" w:ascii="宋体" w:hAnsi="宋体" w:eastAsia="宋体" w:cs="宋体"/>
          <w:b/>
          <w:bCs/>
          <w:kern w:val="0"/>
          <w:sz w:val="32"/>
          <w:szCs w:val="32"/>
          <w:lang w:val="en-US" w:eastAsia="zh-CN" w:bidi="ar-SA"/>
        </w:rPr>
        <w:t>二、机构设置</w:t>
      </w:r>
    </w:p>
    <w:p>
      <w:pPr>
        <w:pStyle w:val="5"/>
        <w:widowControl/>
        <w:shd w:val="clear" w:color="auto" w:fill="FFFFFF"/>
        <w:spacing w:before="0" w:beforeAutospacing="0" w:after="0" w:afterAutospacing="0" w:line="420" w:lineRule="atLeast"/>
        <w:ind w:firstLine="640" w:firstLineChars="200"/>
        <w:rPr>
          <w:rFonts w:hint="eastAsia" w:ascii="仿宋" w:hAnsi="仿宋" w:eastAsia="仿宋" w:cs="仿宋"/>
          <w:sz w:val="32"/>
          <w:szCs w:val="32"/>
          <w:shd w:val="clear" w:color="auto" w:fill="FFFFFF"/>
        </w:rPr>
      </w:pPr>
      <w:r>
        <w:rPr>
          <w:rFonts w:hint="eastAsia" w:ascii="仿宋" w:hAnsi="仿宋" w:eastAsia="仿宋" w:cs="仿宋"/>
          <w:kern w:val="0"/>
          <w:sz w:val="32"/>
          <w:szCs w:val="32"/>
        </w:rPr>
        <w:t>中共封丘县委群众工作部</w:t>
      </w:r>
      <w:r>
        <w:rPr>
          <w:rFonts w:hint="eastAsia" w:ascii="仿宋" w:hAnsi="仿宋" w:eastAsia="仿宋" w:cs="仿宋"/>
          <w:sz w:val="32"/>
          <w:szCs w:val="32"/>
        </w:rPr>
        <w:t>内设10个职能科室，</w:t>
      </w:r>
      <w:r>
        <w:rPr>
          <w:rFonts w:hint="eastAsia" w:ascii="仿宋" w:hAnsi="仿宋" w:eastAsia="仿宋" w:cs="仿宋"/>
          <w:sz w:val="32"/>
          <w:szCs w:val="32"/>
          <w:lang w:val="en-US" w:eastAsia="zh-CN"/>
        </w:rPr>
        <w:t>分别为：</w:t>
      </w:r>
      <w:r>
        <w:rPr>
          <w:rFonts w:hint="eastAsia" w:ascii="仿宋" w:hAnsi="仿宋" w:eastAsia="仿宋" w:cs="仿宋"/>
          <w:sz w:val="32"/>
          <w:szCs w:val="32"/>
          <w:shd w:val="clear" w:color="auto" w:fill="FFFFFF"/>
        </w:rPr>
        <w:t>群众来访接待服务中心、办公室、综合调研科、接访科、办信科、手机办、联络科、复查科、督查科、网络信访科。</w:t>
      </w:r>
    </w:p>
    <w:p>
      <w:pPr>
        <w:widowControl/>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单位共有编制13人，其中：行政编制7人，事业编制6人，借调、临时工、保洁等在职职工总计23人，退休2人。</w:t>
      </w:r>
    </w:p>
    <w:p>
      <w:pPr>
        <w:widowControl/>
        <w:spacing w:line="360" w:lineRule="auto"/>
        <w:ind w:firstLine="640" w:firstLineChars="200"/>
        <w:jc w:val="left"/>
        <w:rPr>
          <w:rFonts w:hint="eastAsia" w:ascii="仿宋" w:hAnsi="仿宋" w:eastAsia="仿宋" w:cs="仿宋"/>
          <w:kern w:val="0"/>
          <w:sz w:val="28"/>
          <w:szCs w:val="28"/>
        </w:rPr>
        <w:sectPr>
          <w:pgSz w:w="11906" w:h="16838"/>
          <w:pgMar w:top="1440" w:right="1800" w:bottom="1440" w:left="1800" w:header="720" w:footer="720" w:gutter="0"/>
          <w:pgNumType w:fmt="numberInDash"/>
          <w:cols w:space="720" w:num="1"/>
          <w:docGrid w:type="lines" w:linePitch="312" w:charSpace="0"/>
        </w:sectPr>
      </w:pPr>
      <w:r>
        <w:rPr>
          <w:rFonts w:hint="eastAsia" w:ascii="仿宋" w:hAnsi="仿宋" w:eastAsia="仿宋" w:cs="仿宋"/>
          <w:kern w:val="0"/>
          <w:sz w:val="32"/>
          <w:szCs w:val="32"/>
        </w:rPr>
        <w:t>中共封丘县委群众工作部是一级预算单位</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没有二级预算单位，2017年度部门决算为本级决算</w:t>
      </w:r>
      <w:r>
        <w:rPr>
          <w:rFonts w:hint="eastAsia" w:ascii="仿宋" w:hAnsi="仿宋" w:eastAsia="仿宋" w:cs="仿宋"/>
          <w:kern w:val="0"/>
          <w:sz w:val="32"/>
          <w:szCs w:val="32"/>
        </w:rPr>
        <w:t>。</w:t>
      </w:r>
    </w:p>
    <w:p>
      <w:pPr>
        <w:jc w:val="left"/>
        <w:rPr>
          <w:rFonts w:ascii="黑体" w:hAnsi="黑体" w:eastAsia="黑体" w:cs="黑体"/>
          <w:sz w:val="32"/>
          <w:szCs w:val="32"/>
        </w:rPr>
      </w:pPr>
    </w:p>
    <w:p>
      <w:pPr>
        <w:jc w:val="center"/>
        <w:rPr>
          <w:rFonts w:ascii="黑体" w:hAnsi="黑体" w:eastAsia="黑体" w:cs="黑体"/>
          <w:sz w:val="48"/>
          <w:szCs w:val="48"/>
        </w:rPr>
      </w:pPr>
      <w:r>
        <w:rPr>
          <w:rFonts w:hint="eastAsia" w:ascii="黑体" w:hAnsi="黑体" w:eastAsia="黑体" w:cs="黑体"/>
          <w:sz w:val="48"/>
          <w:szCs w:val="48"/>
        </w:rPr>
        <w:t>第二部分</w:t>
      </w:r>
    </w:p>
    <w:p>
      <w:pPr>
        <w:jc w:val="center"/>
        <w:rPr>
          <w:rFonts w:ascii="黑体" w:hAnsi="黑体" w:eastAsia="黑体" w:cs="黑体"/>
          <w:sz w:val="48"/>
          <w:szCs w:val="48"/>
        </w:rPr>
      </w:pPr>
      <w:r>
        <w:rPr>
          <w:rFonts w:hint="eastAsia" w:ascii="黑体" w:hAnsi="黑体" w:eastAsia="黑体" w:cs="黑体"/>
          <w:sz w:val="48"/>
          <w:szCs w:val="48"/>
        </w:rPr>
        <w:t>2017年度部门决算表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9"/>
        <w:tblW w:w="13983" w:type="dxa"/>
        <w:tblInd w:w="0" w:type="dxa"/>
        <w:tblLayout w:type="fixed"/>
        <w:tblCellMar>
          <w:top w:w="15" w:type="dxa"/>
          <w:left w:w="15" w:type="dxa"/>
          <w:bottom w:w="15" w:type="dxa"/>
          <w:right w:w="15" w:type="dxa"/>
        </w:tblCellMar>
      </w:tblPr>
      <w:tblGrid>
        <w:gridCol w:w="3259"/>
        <w:gridCol w:w="473"/>
        <w:gridCol w:w="3269"/>
        <w:gridCol w:w="3249"/>
        <w:gridCol w:w="473"/>
        <w:gridCol w:w="3260"/>
      </w:tblGrid>
      <w:tr>
        <w:tblPrEx>
          <w:tblLayout w:type="fixed"/>
          <w:tblCellMar>
            <w:top w:w="15" w:type="dxa"/>
            <w:left w:w="15" w:type="dxa"/>
            <w:bottom w:w="15" w:type="dxa"/>
            <w:right w:w="15" w:type="dxa"/>
          </w:tblCellMar>
        </w:tblPrEx>
        <w:trPr>
          <w:trHeight w:val="375" w:hRule="atLeast"/>
        </w:trPr>
        <w:tc>
          <w:tcPr>
            <w:tcW w:w="13983" w:type="dxa"/>
            <w:gridSpan w:val="6"/>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收入支出决算总表</w:t>
            </w:r>
          </w:p>
        </w:tc>
      </w:tr>
      <w:tr>
        <w:tblPrEx>
          <w:tblLayout w:type="fixed"/>
          <w:tblCellMar>
            <w:top w:w="15" w:type="dxa"/>
            <w:left w:w="15" w:type="dxa"/>
            <w:bottom w:w="15" w:type="dxa"/>
            <w:right w:w="15" w:type="dxa"/>
          </w:tblCellMar>
        </w:tblPrEx>
        <w:trPr>
          <w:trHeight w:val="300" w:hRule="atLeast"/>
        </w:trPr>
        <w:tc>
          <w:tcPr>
            <w:tcW w:w="3259" w:type="dxa"/>
            <w:vAlign w:val="center"/>
          </w:tcPr>
          <w:p>
            <w:pPr>
              <w:jc w:val="left"/>
              <w:rPr>
                <w:rFonts w:ascii="宋体" w:hAnsi="宋体" w:cs="宋体"/>
                <w:color w:val="000000"/>
                <w:sz w:val="18"/>
                <w:szCs w:val="18"/>
              </w:rPr>
            </w:pPr>
          </w:p>
        </w:tc>
        <w:tc>
          <w:tcPr>
            <w:tcW w:w="473" w:type="dxa"/>
            <w:vAlign w:val="center"/>
          </w:tcPr>
          <w:p>
            <w:pPr>
              <w:jc w:val="left"/>
              <w:rPr>
                <w:rFonts w:ascii="宋体" w:hAnsi="宋体" w:cs="宋体"/>
                <w:color w:val="000000"/>
                <w:sz w:val="18"/>
                <w:szCs w:val="18"/>
              </w:rPr>
            </w:pPr>
          </w:p>
        </w:tc>
        <w:tc>
          <w:tcPr>
            <w:tcW w:w="3269" w:type="dxa"/>
            <w:vAlign w:val="center"/>
          </w:tcPr>
          <w:p>
            <w:pPr>
              <w:jc w:val="left"/>
              <w:rPr>
                <w:rFonts w:ascii="宋体" w:hAnsi="宋体" w:cs="宋体"/>
                <w:color w:val="000000"/>
                <w:sz w:val="18"/>
                <w:szCs w:val="18"/>
              </w:rPr>
            </w:pPr>
          </w:p>
        </w:tc>
        <w:tc>
          <w:tcPr>
            <w:tcW w:w="3249" w:type="dxa"/>
            <w:vAlign w:val="center"/>
          </w:tcPr>
          <w:p>
            <w:pPr>
              <w:jc w:val="left"/>
              <w:rPr>
                <w:rFonts w:ascii="宋体" w:hAnsi="宋体" w:cs="宋体"/>
                <w:color w:val="000000"/>
                <w:sz w:val="18"/>
                <w:szCs w:val="18"/>
              </w:rPr>
            </w:pPr>
          </w:p>
        </w:tc>
        <w:tc>
          <w:tcPr>
            <w:tcW w:w="473" w:type="dxa"/>
            <w:vAlign w:val="center"/>
          </w:tcPr>
          <w:p>
            <w:pPr>
              <w:jc w:val="left"/>
              <w:rPr>
                <w:rFonts w:ascii="宋体" w:hAnsi="宋体" w:cs="宋体"/>
                <w:color w:val="000000"/>
                <w:sz w:val="18"/>
                <w:szCs w:val="18"/>
              </w:rPr>
            </w:pPr>
          </w:p>
        </w:tc>
        <w:tc>
          <w:tcPr>
            <w:tcW w:w="3260" w:type="dxa"/>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公开01表</w:t>
            </w:r>
          </w:p>
        </w:tc>
      </w:tr>
      <w:tr>
        <w:tblPrEx>
          <w:tblLayout w:type="fixed"/>
          <w:tblCellMar>
            <w:top w:w="15" w:type="dxa"/>
            <w:left w:w="15" w:type="dxa"/>
            <w:bottom w:w="15" w:type="dxa"/>
            <w:right w:w="15" w:type="dxa"/>
          </w:tblCellMar>
        </w:tblPrEx>
        <w:trPr>
          <w:trHeight w:val="300" w:hRule="atLeast"/>
        </w:trPr>
        <w:tc>
          <w:tcPr>
            <w:tcW w:w="7001" w:type="dxa"/>
            <w:gridSpan w:val="3"/>
            <w:tcBorders>
              <w:bottom w:val="single" w:color="auto" w:sz="4" w:space="0"/>
            </w:tcBorders>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rPr>
              <w:t>部门：中共封丘县委群众工作部</w:t>
            </w:r>
          </w:p>
        </w:tc>
        <w:tc>
          <w:tcPr>
            <w:tcW w:w="3249" w:type="dxa"/>
            <w:tcBorders>
              <w:bottom w:val="single" w:color="auto" w:sz="4" w:space="0"/>
            </w:tcBorders>
            <w:vAlign w:val="center"/>
          </w:tcPr>
          <w:p>
            <w:pPr>
              <w:jc w:val="left"/>
              <w:rPr>
                <w:rFonts w:ascii="宋体" w:hAnsi="宋体" w:cs="宋体"/>
                <w:color w:val="000000"/>
                <w:sz w:val="18"/>
                <w:szCs w:val="18"/>
              </w:rPr>
            </w:pPr>
          </w:p>
        </w:tc>
        <w:tc>
          <w:tcPr>
            <w:tcW w:w="473" w:type="dxa"/>
            <w:tcBorders>
              <w:bottom w:val="single" w:color="auto" w:sz="4" w:space="0"/>
            </w:tcBorders>
            <w:vAlign w:val="center"/>
          </w:tcPr>
          <w:p>
            <w:pPr>
              <w:jc w:val="left"/>
              <w:rPr>
                <w:rFonts w:ascii="宋体" w:hAnsi="宋体" w:cs="宋体"/>
                <w:color w:val="000000"/>
                <w:sz w:val="18"/>
                <w:szCs w:val="18"/>
              </w:rPr>
            </w:pPr>
          </w:p>
        </w:tc>
        <w:tc>
          <w:tcPr>
            <w:tcW w:w="3260" w:type="dxa"/>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Layout w:type="fixed"/>
          <w:tblCellMar>
            <w:top w:w="15" w:type="dxa"/>
            <w:left w:w="15" w:type="dxa"/>
            <w:bottom w:w="15" w:type="dxa"/>
            <w:right w:w="15" w:type="dxa"/>
          </w:tblCellMar>
        </w:tblPrEx>
        <w:trPr>
          <w:trHeight w:val="300" w:hRule="atLeast"/>
        </w:trPr>
        <w:tc>
          <w:tcPr>
            <w:tcW w:w="7001"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收入</w:t>
            </w:r>
          </w:p>
        </w:tc>
        <w:tc>
          <w:tcPr>
            <w:tcW w:w="6982"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w:t>
            </w:r>
          </w:p>
        </w:tc>
      </w:tr>
      <w:tr>
        <w:tblPrEx>
          <w:tblLayout w:type="fixed"/>
          <w:tblCellMar>
            <w:top w:w="15" w:type="dxa"/>
            <w:left w:w="15" w:type="dxa"/>
            <w:bottom w:w="15" w:type="dxa"/>
            <w:right w:w="15" w:type="dxa"/>
          </w:tblCellMar>
        </w:tblPrEx>
        <w:trPr>
          <w:trHeight w:val="300" w:hRule="atLeast"/>
        </w:trPr>
        <w:tc>
          <w:tcPr>
            <w:tcW w:w="3259"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473"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3269"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3249"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473"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3260"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473" w:type="dxa"/>
            <w:tcBorders>
              <w:bottom w:val="single" w:color="000000" w:sz="4" w:space="0"/>
              <w:right w:val="single" w:color="000000" w:sz="4" w:space="0"/>
            </w:tcBorders>
            <w:vAlign w:val="center"/>
          </w:tcPr>
          <w:p>
            <w:pPr>
              <w:jc w:val="center"/>
              <w:rPr>
                <w:rFonts w:ascii="宋体" w:hAnsi="宋体" w:cs="宋体"/>
                <w:color w:val="000000"/>
                <w:sz w:val="20"/>
                <w:szCs w:val="20"/>
              </w:rPr>
            </w:pPr>
          </w:p>
        </w:tc>
        <w:tc>
          <w:tcPr>
            <w:tcW w:w="3269"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249" w:type="dxa"/>
            <w:tcBorders>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473" w:type="dxa"/>
            <w:tcBorders>
              <w:bottom w:val="single" w:color="000000" w:sz="4" w:space="0"/>
              <w:right w:val="single" w:color="000000" w:sz="4" w:space="0"/>
            </w:tcBorders>
            <w:vAlign w:val="center"/>
          </w:tcPr>
          <w:p>
            <w:pPr>
              <w:jc w:val="center"/>
              <w:rPr>
                <w:rFonts w:ascii="宋体" w:hAnsi="宋体" w:cs="宋体"/>
                <w:color w:val="000000"/>
                <w:sz w:val="20"/>
                <w:szCs w:val="20"/>
              </w:rPr>
            </w:pPr>
          </w:p>
        </w:tc>
        <w:tc>
          <w:tcPr>
            <w:tcW w:w="326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26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597.08</w:t>
            </w: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一、一般公共服务支出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28</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588.04</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26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二、外交支出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29</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326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三、国防支出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30</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326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四、公共安全支出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31</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326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五、教育支出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32</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326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六、科学技术支出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33</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七、文化体育与传媒支出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34</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八、社会保障和就业支出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35</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14.60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九、医疗卫生与计划生育支出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36</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4.34</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十、节能环保支出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37</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十一、城乡社区支出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38</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十二、农林水支出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39</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0.47</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十三、交通运输支出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40</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十四、资源勘探信息等支出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41</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十五、商业服务业等支出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42</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十六、金融支出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43</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十七、援助其他地区支出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44</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十八、国土海洋气象等支出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45</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292"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十九、住房保障支出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46</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二十、粮油物资储备支出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47</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二十一、其他支出</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48</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49</w:t>
            </w:r>
          </w:p>
        </w:tc>
        <w:tc>
          <w:tcPr>
            <w:tcW w:w="3260" w:type="dxa"/>
            <w:tcBorders>
              <w:bottom w:val="single" w:color="000000" w:sz="4" w:space="0"/>
              <w:right w:val="single" w:color="000000" w:sz="4" w:space="0"/>
            </w:tcBorders>
            <w:vAlign w:val="center"/>
          </w:tcPr>
          <w:p>
            <w:pPr>
              <w:jc w:val="righ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326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597.08</w:t>
            </w:r>
          </w:p>
        </w:tc>
        <w:tc>
          <w:tcPr>
            <w:tcW w:w="3249"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本年支出合计</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50</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607.46</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326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结余分配</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51</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326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66.58</w:t>
            </w: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年末结转和结余</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52</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56.20</w:t>
            </w: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32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53</w:t>
            </w:r>
          </w:p>
        </w:tc>
        <w:tc>
          <w:tcPr>
            <w:tcW w:w="3260" w:type="dxa"/>
            <w:tcBorders>
              <w:bottom w:val="single" w:color="000000" w:sz="4" w:space="0"/>
              <w:right w:val="single" w:color="000000" w:sz="4" w:space="0"/>
            </w:tcBorders>
            <w:vAlign w:val="center"/>
          </w:tcPr>
          <w:p>
            <w:pPr>
              <w:jc w:val="righ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总计</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326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663.66</w:t>
            </w:r>
          </w:p>
        </w:tc>
        <w:tc>
          <w:tcPr>
            <w:tcW w:w="3249"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总计</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54</w:t>
            </w:r>
          </w:p>
        </w:tc>
        <w:tc>
          <w:tcPr>
            <w:tcW w:w="326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663.66</w:t>
            </w:r>
          </w:p>
        </w:tc>
      </w:tr>
      <w:tr>
        <w:tblPrEx>
          <w:tblLayout w:type="fixed"/>
          <w:tblCellMar>
            <w:top w:w="15" w:type="dxa"/>
            <w:left w:w="15" w:type="dxa"/>
            <w:bottom w:w="15" w:type="dxa"/>
            <w:right w:w="15" w:type="dxa"/>
          </w:tblCellMar>
        </w:tblPrEx>
        <w:trPr>
          <w:trHeight w:val="300" w:hRule="atLeast"/>
        </w:trPr>
        <w:tc>
          <w:tcPr>
            <w:tcW w:w="13983" w:type="dxa"/>
            <w:gridSpan w:val="6"/>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注：本表反映部门本年度的总收支和年末结转结余情况。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13985" w:type="dxa"/>
        <w:tblInd w:w="0" w:type="dxa"/>
        <w:tblLayout w:type="fixed"/>
        <w:tblCellMar>
          <w:top w:w="15" w:type="dxa"/>
          <w:left w:w="15" w:type="dxa"/>
          <w:bottom w:w="15" w:type="dxa"/>
          <w:right w:w="15" w:type="dxa"/>
        </w:tblCellMar>
      </w:tblPr>
      <w:tblGrid>
        <w:gridCol w:w="481"/>
        <w:gridCol w:w="431"/>
        <w:gridCol w:w="37"/>
        <w:gridCol w:w="499"/>
        <w:gridCol w:w="968"/>
        <w:gridCol w:w="783"/>
        <w:gridCol w:w="1540"/>
        <w:gridCol w:w="1540"/>
        <w:gridCol w:w="1540"/>
        <w:gridCol w:w="341"/>
        <w:gridCol w:w="974"/>
        <w:gridCol w:w="225"/>
        <w:gridCol w:w="746"/>
        <w:gridCol w:w="794"/>
        <w:gridCol w:w="176"/>
        <w:gridCol w:w="970"/>
        <w:gridCol w:w="394"/>
        <w:gridCol w:w="1546"/>
      </w:tblGrid>
      <w:tr>
        <w:tblPrEx>
          <w:tblLayout w:type="fixed"/>
          <w:tblCellMar>
            <w:top w:w="15" w:type="dxa"/>
            <w:left w:w="15" w:type="dxa"/>
            <w:bottom w:w="15" w:type="dxa"/>
            <w:right w:w="15" w:type="dxa"/>
          </w:tblCellMar>
        </w:tblPrEx>
        <w:trPr>
          <w:trHeight w:val="375" w:hRule="atLeast"/>
        </w:trPr>
        <w:tc>
          <w:tcPr>
            <w:tcW w:w="13985" w:type="dxa"/>
            <w:gridSpan w:val="18"/>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收入决算表</w:t>
            </w:r>
          </w:p>
        </w:tc>
      </w:tr>
      <w:tr>
        <w:tblPrEx>
          <w:tblLayout w:type="fixed"/>
          <w:tblCellMar>
            <w:top w:w="15" w:type="dxa"/>
            <w:left w:w="15" w:type="dxa"/>
            <w:bottom w:w="15" w:type="dxa"/>
            <w:right w:w="15" w:type="dxa"/>
          </w:tblCellMar>
        </w:tblPrEx>
        <w:trPr>
          <w:trHeight w:val="300" w:hRule="atLeast"/>
        </w:trPr>
        <w:tc>
          <w:tcPr>
            <w:tcW w:w="481" w:type="dxa"/>
            <w:vAlign w:val="center"/>
          </w:tcPr>
          <w:p>
            <w:pPr>
              <w:jc w:val="left"/>
              <w:rPr>
                <w:rFonts w:ascii="宋体" w:hAnsi="宋体" w:cs="宋体"/>
                <w:color w:val="000000"/>
                <w:sz w:val="18"/>
                <w:szCs w:val="18"/>
              </w:rPr>
            </w:pPr>
          </w:p>
        </w:tc>
        <w:tc>
          <w:tcPr>
            <w:tcW w:w="967" w:type="dxa"/>
            <w:gridSpan w:val="3"/>
            <w:vAlign w:val="center"/>
          </w:tcPr>
          <w:p>
            <w:pPr>
              <w:jc w:val="left"/>
              <w:rPr>
                <w:rFonts w:ascii="宋体" w:hAnsi="宋体" w:cs="宋体"/>
                <w:color w:val="000000"/>
                <w:sz w:val="18"/>
                <w:szCs w:val="18"/>
              </w:rPr>
            </w:pPr>
          </w:p>
        </w:tc>
        <w:tc>
          <w:tcPr>
            <w:tcW w:w="968" w:type="dxa"/>
            <w:vAlign w:val="center"/>
          </w:tcPr>
          <w:p>
            <w:pPr>
              <w:jc w:val="left"/>
              <w:rPr>
                <w:rFonts w:ascii="宋体" w:hAnsi="宋体" w:cs="宋体"/>
                <w:color w:val="000000"/>
                <w:sz w:val="18"/>
                <w:szCs w:val="18"/>
              </w:rPr>
            </w:pPr>
          </w:p>
        </w:tc>
        <w:tc>
          <w:tcPr>
            <w:tcW w:w="783" w:type="dxa"/>
            <w:vAlign w:val="center"/>
          </w:tcPr>
          <w:p>
            <w:pPr>
              <w:jc w:val="left"/>
              <w:rPr>
                <w:rFonts w:ascii="宋体" w:hAnsi="宋体" w:cs="宋体"/>
                <w:color w:val="000000"/>
                <w:sz w:val="18"/>
                <w:szCs w:val="18"/>
              </w:rPr>
            </w:pPr>
          </w:p>
        </w:tc>
        <w:tc>
          <w:tcPr>
            <w:tcW w:w="4961" w:type="dxa"/>
            <w:gridSpan w:val="4"/>
            <w:vAlign w:val="center"/>
          </w:tcPr>
          <w:p>
            <w:pPr>
              <w:jc w:val="left"/>
              <w:rPr>
                <w:rFonts w:ascii="宋体" w:hAnsi="宋体" w:cs="宋体"/>
                <w:color w:val="000000"/>
                <w:sz w:val="18"/>
                <w:szCs w:val="18"/>
              </w:rPr>
            </w:pPr>
          </w:p>
        </w:tc>
        <w:tc>
          <w:tcPr>
            <w:tcW w:w="974" w:type="dxa"/>
            <w:vAlign w:val="center"/>
          </w:tcPr>
          <w:p>
            <w:pPr>
              <w:jc w:val="left"/>
              <w:rPr>
                <w:rFonts w:ascii="宋体" w:hAnsi="宋体" w:cs="宋体"/>
                <w:color w:val="000000"/>
                <w:sz w:val="18"/>
                <w:szCs w:val="18"/>
              </w:rPr>
            </w:pPr>
          </w:p>
        </w:tc>
        <w:tc>
          <w:tcPr>
            <w:tcW w:w="971" w:type="dxa"/>
            <w:gridSpan w:val="2"/>
            <w:vAlign w:val="center"/>
          </w:tcPr>
          <w:p>
            <w:pPr>
              <w:jc w:val="left"/>
              <w:rPr>
                <w:rFonts w:ascii="宋体" w:hAnsi="宋体" w:cs="宋体"/>
                <w:color w:val="000000"/>
                <w:sz w:val="18"/>
                <w:szCs w:val="18"/>
              </w:rPr>
            </w:pPr>
          </w:p>
        </w:tc>
        <w:tc>
          <w:tcPr>
            <w:tcW w:w="970" w:type="dxa"/>
            <w:gridSpan w:val="2"/>
            <w:vAlign w:val="center"/>
          </w:tcPr>
          <w:p>
            <w:pPr>
              <w:jc w:val="left"/>
              <w:rPr>
                <w:rFonts w:ascii="宋体" w:hAnsi="宋体" w:cs="宋体"/>
                <w:color w:val="000000"/>
                <w:sz w:val="18"/>
                <w:szCs w:val="18"/>
              </w:rPr>
            </w:pPr>
          </w:p>
        </w:tc>
        <w:tc>
          <w:tcPr>
            <w:tcW w:w="970" w:type="dxa"/>
            <w:vAlign w:val="center"/>
          </w:tcPr>
          <w:p>
            <w:pPr>
              <w:jc w:val="left"/>
              <w:rPr>
                <w:rFonts w:ascii="宋体" w:hAnsi="宋体" w:cs="宋体"/>
                <w:color w:val="000000"/>
                <w:sz w:val="18"/>
                <w:szCs w:val="18"/>
              </w:rPr>
            </w:pPr>
          </w:p>
        </w:tc>
        <w:tc>
          <w:tcPr>
            <w:tcW w:w="1940" w:type="dxa"/>
            <w:gridSpan w:val="2"/>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公开02表</w:t>
            </w:r>
          </w:p>
        </w:tc>
      </w:tr>
      <w:tr>
        <w:tblPrEx>
          <w:tblLayout w:type="fixed"/>
          <w:tblCellMar>
            <w:top w:w="15" w:type="dxa"/>
            <w:left w:w="15" w:type="dxa"/>
            <w:bottom w:w="15" w:type="dxa"/>
            <w:right w:w="15" w:type="dxa"/>
          </w:tblCellMar>
        </w:tblPrEx>
        <w:trPr>
          <w:trHeight w:val="300" w:hRule="atLeast"/>
        </w:trPr>
        <w:tc>
          <w:tcPr>
            <w:tcW w:w="8160" w:type="dxa"/>
            <w:gridSpan w:val="10"/>
            <w:tcBorders>
              <w:bottom w:val="single" w:color="auto" w:sz="4" w:space="0"/>
            </w:tcBorders>
            <w:vAlign w:val="center"/>
          </w:tcPr>
          <w:p>
            <w:pPr>
              <w:jc w:val="left"/>
              <w:rPr>
                <w:rFonts w:ascii="宋体" w:hAnsi="宋体" w:cs="宋体"/>
                <w:color w:val="000000"/>
                <w:sz w:val="18"/>
                <w:szCs w:val="18"/>
              </w:rPr>
            </w:pPr>
            <w:r>
              <w:rPr>
                <w:rFonts w:hint="eastAsia" w:ascii="宋体" w:hAnsi="宋体" w:cs="宋体"/>
                <w:color w:val="000000"/>
                <w:kern w:val="0"/>
                <w:sz w:val="22"/>
              </w:rPr>
              <w:t>部门：中共封丘县委群众工作部</w:t>
            </w:r>
          </w:p>
        </w:tc>
        <w:tc>
          <w:tcPr>
            <w:tcW w:w="974" w:type="dxa"/>
            <w:tcBorders>
              <w:bottom w:val="single" w:color="auto" w:sz="4" w:space="0"/>
            </w:tcBorders>
            <w:vAlign w:val="center"/>
          </w:tcPr>
          <w:p>
            <w:pPr>
              <w:widowControl/>
              <w:jc w:val="center"/>
              <w:textAlignment w:val="center"/>
              <w:rPr>
                <w:rFonts w:ascii="宋体" w:hAnsi="宋体" w:cs="宋体"/>
                <w:color w:val="000000"/>
                <w:sz w:val="22"/>
              </w:rPr>
            </w:pPr>
          </w:p>
        </w:tc>
        <w:tc>
          <w:tcPr>
            <w:tcW w:w="971" w:type="dxa"/>
            <w:gridSpan w:val="2"/>
            <w:tcBorders>
              <w:bottom w:val="single" w:color="auto" w:sz="4" w:space="0"/>
            </w:tcBorders>
            <w:vAlign w:val="center"/>
          </w:tcPr>
          <w:p>
            <w:pPr>
              <w:jc w:val="left"/>
              <w:rPr>
                <w:rFonts w:ascii="宋体" w:hAnsi="宋体" w:cs="宋体"/>
                <w:color w:val="000000"/>
                <w:sz w:val="18"/>
                <w:szCs w:val="18"/>
              </w:rPr>
            </w:pPr>
          </w:p>
        </w:tc>
        <w:tc>
          <w:tcPr>
            <w:tcW w:w="970" w:type="dxa"/>
            <w:gridSpan w:val="2"/>
            <w:tcBorders>
              <w:bottom w:val="single" w:color="auto" w:sz="4" w:space="0"/>
            </w:tcBorders>
            <w:vAlign w:val="center"/>
          </w:tcPr>
          <w:p>
            <w:pPr>
              <w:jc w:val="left"/>
              <w:rPr>
                <w:rFonts w:ascii="宋体" w:hAnsi="宋体" w:cs="宋体"/>
                <w:color w:val="000000"/>
                <w:sz w:val="18"/>
                <w:szCs w:val="18"/>
              </w:rPr>
            </w:pPr>
          </w:p>
        </w:tc>
        <w:tc>
          <w:tcPr>
            <w:tcW w:w="970" w:type="dxa"/>
            <w:tcBorders>
              <w:bottom w:val="single" w:color="auto" w:sz="4" w:space="0"/>
            </w:tcBorders>
            <w:vAlign w:val="center"/>
          </w:tcPr>
          <w:p>
            <w:pPr>
              <w:jc w:val="left"/>
              <w:rPr>
                <w:rFonts w:ascii="宋体" w:hAnsi="宋体" w:cs="宋体"/>
                <w:color w:val="000000"/>
                <w:sz w:val="18"/>
                <w:szCs w:val="18"/>
              </w:rPr>
            </w:pPr>
          </w:p>
        </w:tc>
        <w:tc>
          <w:tcPr>
            <w:tcW w:w="1940" w:type="dxa"/>
            <w:gridSpan w:val="2"/>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Layout w:type="fixed"/>
          <w:tblCellMar>
            <w:top w:w="15" w:type="dxa"/>
            <w:left w:w="15" w:type="dxa"/>
            <w:bottom w:w="15" w:type="dxa"/>
            <w:right w:w="15" w:type="dxa"/>
          </w:tblCellMar>
        </w:tblPrEx>
        <w:trPr>
          <w:trHeight w:val="300" w:hRule="atLeast"/>
        </w:trPr>
        <w:tc>
          <w:tcPr>
            <w:tcW w:w="3199"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上级补助收入</w:t>
            </w:r>
          </w:p>
        </w:tc>
        <w:tc>
          <w:tcPr>
            <w:tcW w:w="154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事业收入</w:t>
            </w:r>
          </w:p>
        </w:tc>
        <w:tc>
          <w:tcPr>
            <w:tcW w:w="15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经营收入</w:t>
            </w:r>
          </w:p>
        </w:tc>
        <w:tc>
          <w:tcPr>
            <w:tcW w:w="154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附属单位上缴收入</w:t>
            </w:r>
          </w:p>
        </w:tc>
        <w:tc>
          <w:tcPr>
            <w:tcW w:w="154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其他收入</w:t>
            </w:r>
          </w:p>
        </w:tc>
      </w:tr>
      <w:tr>
        <w:tblPrEx>
          <w:tblLayout w:type="fixed"/>
          <w:tblCellMar>
            <w:top w:w="15" w:type="dxa"/>
            <w:left w:w="15" w:type="dxa"/>
            <w:bottom w:w="15" w:type="dxa"/>
            <w:right w:w="15" w:type="dxa"/>
          </w:tblCellMar>
        </w:tblPrEx>
        <w:trPr>
          <w:trHeight w:val="312" w:hRule="atLeast"/>
        </w:trPr>
        <w:tc>
          <w:tcPr>
            <w:tcW w:w="949" w:type="dxa"/>
            <w:gridSpan w:val="3"/>
            <w:vMerge w:val="restart"/>
            <w:tcBorders>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225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40"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40"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12" w:hRule="atLeast"/>
        </w:trPr>
        <w:tc>
          <w:tcPr>
            <w:tcW w:w="949" w:type="dxa"/>
            <w:gridSpan w:val="3"/>
            <w:vMerge w:val="continue"/>
            <w:tcBorders>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2250"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gridSpan w:val="3"/>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gridSpan w:val="3"/>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6" w:type="dxa"/>
            <w:vMerge w:val="continue"/>
            <w:tcBorders>
              <w:top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12" w:hRule="atLeast"/>
        </w:trPr>
        <w:tc>
          <w:tcPr>
            <w:tcW w:w="949" w:type="dxa"/>
            <w:gridSpan w:val="3"/>
            <w:vMerge w:val="continue"/>
            <w:tcBorders>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2250"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gridSpan w:val="3"/>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gridSpan w:val="3"/>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6" w:type="dxa"/>
            <w:vMerge w:val="continue"/>
            <w:tcBorders>
              <w:top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3199" w:type="dxa"/>
            <w:gridSpan w:val="6"/>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54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54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54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540" w:type="dxa"/>
            <w:gridSpan w:val="3"/>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540" w:type="dxa"/>
            <w:gridSpan w:val="2"/>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540" w:type="dxa"/>
            <w:gridSpan w:val="3"/>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54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r>
      <w:tr>
        <w:tblPrEx>
          <w:tblLayout w:type="fixed"/>
          <w:tblCellMar>
            <w:top w:w="15" w:type="dxa"/>
            <w:left w:w="15" w:type="dxa"/>
            <w:bottom w:w="15" w:type="dxa"/>
            <w:right w:w="15" w:type="dxa"/>
          </w:tblCellMar>
        </w:tblPrEx>
        <w:trPr>
          <w:trHeight w:val="300" w:hRule="atLeast"/>
        </w:trPr>
        <w:tc>
          <w:tcPr>
            <w:tcW w:w="3199" w:type="dxa"/>
            <w:gridSpan w:val="6"/>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合计</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2"/>
              </w:rPr>
              <w:t>597.08</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2"/>
              </w:rPr>
              <w:t>597.08</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2"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201</w:t>
            </w:r>
          </w:p>
        </w:tc>
        <w:tc>
          <w:tcPr>
            <w:tcW w:w="2287" w:type="dxa"/>
            <w:gridSpan w:val="4"/>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一般公共服务支出</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577.13</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577.13</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2"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20103</w:t>
            </w:r>
          </w:p>
        </w:tc>
        <w:tc>
          <w:tcPr>
            <w:tcW w:w="2287" w:type="dxa"/>
            <w:gridSpan w:val="4"/>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政府办公厅（室）及相关机构事务</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325.58</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325.58</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2"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2010305</w:t>
            </w:r>
          </w:p>
        </w:tc>
        <w:tc>
          <w:tcPr>
            <w:tcW w:w="2287" w:type="dxa"/>
            <w:gridSpan w:val="4"/>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专项业务活动</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225.58</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225.58</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2"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2010308</w:t>
            </w:r>
          </w:p>
        </w:tc>
        <w:tc>
          <w:tcPr>
            <w:tcW w:w="2287" w:type="dxa"/>
            <w:gridSpan w:val="4"/>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信访事务</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100</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100</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2"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20131</w:t>
            </w:r>
          </w:p>
        </w:tc>
        <w:tc>
          <w:tcPr>
            <w:tcW w:w="2287" w:type="dxa"/>
            <w:gridSpan w:val="4"/>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党委办公厅（室）及相关机构事务</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243.56</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243.56</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2"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2013101</w:t>
            </w:r>
          </w:p>
        </w:tc>
        <w:tc>
          <w:tcPr>
            <w:tcW w:w="2287" w:type="dxa"/>
            <w:gridSpan w:val="4"/>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行政运行</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243.56</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243.56</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2"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20136</w:t>
            </w:r>
          </w:p>
        </w:tc>
        <w:tc>
          <w:tcPr>
            <w:tcW w:w="2287" w:type="dxa"/>
            <w:gridSpan w:val="4"/>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其他共产党事务支出</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8</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8</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2"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2013699</w:t>
            </w:r>
          </w:p>
        </w:tc>
        <w:tc>
          <w:tcPr>
            <w:tcW w:w="2287" w:type="dxa"/>
            <w:gridSpan w:val="4"/>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其他共产党事务支出</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8</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8</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2"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208</w:t>
            </w:r>
          </w:p>
        </w:tc>
        <w:tc>
          <w:tcPr>
            <w:tcW w:w="2287" w:type="dxa"/>
            <w:gridSpan w:val="4"/>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社会保障和就业支出</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14.60</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14.60</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2"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20805</w:t>
            </w:r>
          </w:p>
        </w:tc>
        <w:tc>
          <w:tcPr>
            <w:tcW w:w="2287" w:type="dxa"/>
            <w:gridSpan w:val="4"/>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行政事业单位离退休</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14.07</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14.07</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2"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2080505</w:t>
            </w:r>
          </w:p>
        </w:tc>
        <w:tc>
          <w:tcPr>
            <w:tcW w:w="2287" w:type="dxa"/>
            <w:gridSpan w:val="4"/>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机关事业单位基本养老保险缴费支出</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14.07</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14.07</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2"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20899</w:t>
            </w:r>
          </w:p>
        </w:tc>
        <w:tc>
          <w:tcPr>
            <w:tcW w:w="2287" w:type="dxa"/>
            <w:gridSpan w:val="4"/>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其他社会保障和就业支出</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0.53</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0.53</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2"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2089901</w:t>
            </w:r>
          </w:p>
        </w:tc>
        <w:tc>
          <w:tcPr>
            <w:tcW w:w="2287" w:type="dxa"/>
            <w:gridSpan w:val="4"/>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其他社会保障和就业支出</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0.53</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0.53</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2"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210</w:t>
            </w:r>
          </w:p>
        </w:tc>
        <w:tc>
          <w:tcPr>
            <w:tcW w:w="2287" w:type="dxa"/>
            <w:gridSpan w:val="4"/>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医疗卫生与计划生育支出</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4.34</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4.34</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2"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21011</w:t>
            </w:r>
          </w:p>
        </w:tc>
        <w:tc>
          <w:tcPr>
            <w:tcW w:w="2287" w:type="dxa"/>
            <w:gridSpan w:val="4"/>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行政事业单位医疗</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4.34</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4.34</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2"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2101101</w:t>
            </w:r>
          </w:p>
        </w:tc>
        <w:tc>
          <w:tcPr>
            <w:tcW w:w="2287" w:type="dxa"/>
            <w:gridSpan w:val="4"/>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 xml:space="preserve">  行政单位医疗</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4.34</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4.34</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2"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213</w:t>
            </w:r>
          </w:p>
        </w:tc>
        <w:tc>
          <w:tcPr>
            <w:tcW w:w="2287" w:type="dxa"/>
            <w:gridSpan w:val="4"/>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农林水支出</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1</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1</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2"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21305</w:t>
            </w:r>
          </w:p>
        </w:tc>
        <w:tc>
          <w:tcPr>
            <w:tcW w:w="2287" w:type="dxa"/>
            <w:gridSpan w:val="4"/>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扶贫</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1</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1</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12"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2130599</w:t>
            </w:r>
          </w:p>
        </w:tc>
        <w:tc>
          <w:tcPr>
            <w:tcW w:w="2287" w:type="dxa"/>
            <w:gridSpan w:val="4"/>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其他扶贫支出</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w:t>
            </w:r>
          </w:p>
        </w:tc>
        <w:tc>
          <w:tcPr>
            <w:tcW w:w="1540"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40"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40" w:type="dxa"/>
            <w:gridSpan w:val="3"/>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46"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13985" w:type="dxa"/>
            <w:gridSpan w:val="18"/>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注：本表反映部门本年度取得的各项收入情况。</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13988" w:type="dxa"/>
        <w:tblInd w:w="0" w:type="dxa"/>
        <w:tblLayout w:type="fixed"/>
        <w:tblCellMar>
          <w:top w:w="15" w:type="dxa"/>
          <w:left w:w="15" w:type="dxa"/>
          <w:bottom w:w="15" w:type="dxa"/>
          <w:right w:w="15" w:type="dxa"/>
        </w:tblCellMar>
      </w:tblPr>
      <w:tblGrid>
        <w:gridCol w:w="518"/>
        <w:gridCol w:w="401"/>
        <w:gridCol w:w="391"/>
        <w:gridCol w:w="249"/>
        <w:gridCol w:w="1040"/>
        <w:gridCol w:w="1995"/>
        <w:gridCol w:w="1565"/>
        <w:gridCol w:w="1565"/>
        <w:gridCol w:w="1049"/>
        <w:gridCol w:w="516"/>
        <w:gridCol w:w="527"/>
        <w:gridCol w:w="1038"/>
        <w:gridCol w:w="6"/>
        <w:gridCol w:w="1559"/>
        <w:gridCol w:w="1569"/>
      </w:tblGrid>
      <w:tr>
        <w:tblPrEx>
          <w:tblLayout w:type="fixed"/>
          <w:tblCellMar>
            <w:top w:w="15" w:type="dxa"/>
            <w:left w:w="15" w:type="dxa"/>
            <w:bottom w:w="15" w:type="dxa"/>
            <w:right w:w="15" w:type="dxa"/>
          </w:tblCellMar>
        </w:tblPrEx>
        <w:trPr>
          <w:trHeight w:val="375" w:hRule="atLeast"/>
        </w:trPr>
        <w:tc>
          <w:tcPr>
            <w:tcW w:w="13988" w:type="dxa"/>
            <w:gridSpan w:val="15"/>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支出决算表</w:t>
            </w:r>
          </w:p>
        </w:tc>
      </w:tr>
      <w:tr>
        <w:tblPrEx>
          <w:tblLayout w:type="fixed"/>
          <w:tblCellMar>
            <w:top w:w="15" w:type="dxa"/>
            <w:left w:w="15" w:type="dxa"/>
            <w:bottom w:w="15" w:type="dxa"/>
            <w:right w:w="15" w:type="dxa"/>
          </w:tblCellMar>
        </w:tblPrEx>
        <w:trPr>
          <w:trHeight w:val="300" w:hRule="atLeast"/>
        </w:trPr>
        <w:tc>
          <w:tcPr>
            <w:tcW w:w="518" w:type="dxa"/>
            <w:vAlign w:val="center"/>
          </w:tcPr>
          <w:p>
            <w:pPr>
              <w:jc w:val="left"/>
              <w:rPr>
                <w:rFonts w:ascii="宋体" w:hAnsi="宋体" w:cs="宋体"/>
                <w:color w:val="000000"/>
                <w:sz w:val="18"/>
                <w:szCs w:val="18"/>
              </w:rPr>
            </w:pPr>
          </w:p>
        </w:tc>
        <w:tc>
          <w:tcPr>
            <w:tcW w:w="1041" w:type="dxa"/>
            <w:gridSpan w:val="3"/>
            <w:vAlign w:val="center"/>
          </w:tcPr>
          <w:p>
            <w:pPr>
              <w:jc w:val="left"/>
              <w:rPr>
                <w:rFonts w:ascii="宋体" w:hAnsi="宋体" w:cs="宋体"/>
                <w:color w:val="000000"/>
                <w:sz w:val="18"/>
                <w:szCs w:val="18"/>
              </w:rPr>
            </w:pPr>
          </w:p>
        </w:tc>
        <w:tc>
          <w:tcPr>
            <w:tcW w:w="1040" w:type="dxa"/>
            <w:vAlign w:val="center"/>
          </w:tcPr>
          <w:p>
            <w:pPr>
              <w:jc w:val="left"/>
              <w:rPr>
                <w:rFonts w:ascii="宋体" w:hAnsi="宋体" w:cs="宋体"/>
                <w:color w:val="000000"/>
                <w:sz w:val="18"/>
                <w:szCs w:val="18"/>
              </w:rPr>
            </w:pPr>
          </w:p>
        </w:tc>
        <w:tc>
          <w:tcPr>
            <w:tcW w:w="1995" w:type="dxa"/>
            <w:vAlign w:val="center"/>
          </w:tcPr>
          <w:p>
            <w:pPr>
              <w:jc w:val="left"/>
              <w:rPr>
                <w:rFonts w:ascii="宋体" w:hAnsi="宋体" w:cs="宋体"/>
                <w:color w:val="000000"/>
                <w:sz w:val="18"/>
                <w:szCs w:val="18"/>
              </w:rPr>
            </w:pPr>
          </w:p>
        </w:tc>
        <w:tc>
          <w:tcPr>
            <w:tcW w:w="4179" w:type="dxa"/>
            <w:gridSpan w:val="3"/>
            <w:vAlign w:val="center"/>
          </w:tcPr>
          <w:p>
            <w:pPr>
              <w:jc w:val="left"/>
              <w:rPr>
                <w:rFonts w:ascii="宋体" w:hAnsi="宋体" w:cs="宋体"/>
                <w:color w:val="000000"/>
                <w:sz w:val="18"/>
                <w:szCs w:val="18"/>
              </w:rPr>
            </w:pPr>
          </w:p>
        </w:tc>
        <w:tc>
          <w:tcPr>
            <w:tcW w:w="1043" w:type="dxa"/>
            <w:gridSpan w:val="2"/>
            <w:vAlign w:val="center"/>
          </w:tcPr>
          <w:p>
            <w:pPr>
              <w:jc w:val="left"/>
              <w:rPr>
                <w:rFonts w:ascii="宋体" w:hAnsi="宋体" w:cs="宋体"/>
                <w:color w:val="000000"/>
                <w:sz w:val="18"/>
                <w:szCs w:val="18"/>
              </w:rPr>
            </w:pPr>
          </w:p>
        </w:tc>
        <w:tc>
          <w:tcPr>
            <w:tcW w:w="1044" w:type="dxa"/>
            <w:gridSpan w:val="2"/>
            <w:vAlign w:val="center"/>
          </w:tcPr>
          <w:p>
            <w:pPr>
              <w:jc w:val="left"/>
              <w:rPr>
                <w:rFonts w:ascii="宋体" w:hAnsi="宋体" w:cs="宋体"/>
                <w:color w:val="000000"/>
                <w:sz w:val="18"/>
                <w:szCs w:val="18"/>
              </w:rPr>
            </w:pPr>
          </w:p>
        </w:tc>
        <w:tc>
          <w:tcPr>
            <w:tcW w:w="3128" w:type="dxa"/>
            <w:gridSpan w:val="2"/>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公开03表</w:t>
            </w:r>
          </w:p>
        </w:tc>
      </w:tr>
      <w:tr>
        <w:tblPrEx>
          <w:tblLayout w:type="fixed"/>
          <w:tblCellMar>
            <w:top w:w="15" w:type="dxa"/>
            <w:left w:w="15" w:type="dxa"/>
            <w:bottom w:w="15" w:type="dxa"/>
            <w:right w:w="15" w:type="dxa"/>
          </w:tblCellMar>
        </w:tblPrEx>
        <w:trPr>
          <w:trHeight w:val="300" w:hRule="atLeast"/>
        </w:trPr>
        <w:tc>
          <w:tcPr>
            <w:tcW w:w="4594" w:type="dxa"/>
            <w:gridSpan w:val="6"/>
            <w:tcBorders>
              <w:bottom w:val="single" w:color="auto" w:sz="4" w:space="0"/>
            </w:tcBorders>
            <w:vAlign w:val="center"/>
          </w:tcPr>
          <w:p>
            <w:pPr>
              <w:jc w:val="left"/>
              <w:rPr>
                <w:rFonts w:ascii="宋体" w:hAnsi="宋体" w:cs="宋体"/>
                <w:color w:val="000000"/>
                <w:sz w:val="18"/>
                <w:szCs w:val="18"/>
              </w:rPr>
            </w:pPr>
            <w:r>
              <w:rPr>
                <w:rFonts w:hint="eastAsia" w:ascii="宋体" w:hAnsi="宋体" w:cs="宋体"/>
                <w:color w:val="000000"/>
                <w:kern w:val="0"/>
                <w:sz w:val="22"/>
              </w:rPr>
              <w:t>部门：中共封丘县委群众工作部</w:t>
            </w:r>
          </w:p>
        </w:tc>
        <w:tc>
          <w:tcPr>
            <w:tcW w:w="4179" w:type="dxa"/>
            <w:gridSpan w:val="3"/>
            <w:tcBorders>
              <w:bottom w:val="single" w:color="auto" w:sz="4" w:space="0"/>
            </w:tcBorders>
            <w:vAlign w:val="center"/>
          </w:tcPr>
          <w:p>
            <w:pPr>
              <w:jc w:val="center"/>
              <w:rPr>
                <w:rFonts w:ascii="宋体" w:hAnsi="宋体" w:cs="宋体"/>
                <w:color w:val="000000"/>
                <w:sz w:val="22"/>
              </w:rPr>
            </w:pPr>
          </w:p>
        </w:tc>
        <w:tc>
          <w:tcPr>
            <w:tcW w:w="1043" w:type="dxa"/>
            <w:gridSpan w:val="2"/>
            <w:tcBorders>
              <w:bottom w:val="single" w:color="auto" w:sz="4" w:space="0"/>
            </w:tcBorders>
            <w:vAlign w:val="center"/>
          </w:tcPr>
          <w:p>
            <w:pPr>
              <w:jc w:val="left"/>
              <w:rPr>
                <w:rFonts w:ascii="宋体" w:hAnsi="宋体" w:cs="宋体"/>
                <w:color w:val="000000"/>
                <w:sz w:val="18"/>
                <w:szCs w:val="18"/>
              </w:rPr>
            </w:pPr>
          </w:p>
        </w:tc>
        <w:tc>
          <w:tcPr>
            <w:tcW w:w="1044" w:type="dxa"/>
            <w:gridSpan w:val="2"/>
            <w:tcBorders>
              <w:bottom w:val="single" w:color="auto" w:sz="4" w:space="0"/>
            </w:tcBorders>
            <w:vAlign w:val="center"/>
          </w:tcPr>
          <w:p>
            <w:pPr>
              <w:jc w:val="left"/>
              <w:rPr>
                <w:rFonts w:ascii="宋体" w:hAnsi="宋体" w:cs="宋体"/>
                <w:color w:val="000000"/>
                <w:sz w:val="18"/>
                <w:szCs w:val="18"/>
              </w:rPr>
            </w:pPr>
          </w:p>
        </w:tc>
        <w:tc>
          <w:tcPr>
            <w:tcW w:w="3128" w:type="dxa"/>
            <w:gridSpan w:val="2"/>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Layout w:type="fixed"/>
          <w:tblCellMar>
            <w:top w:w="15" w:type="dxa"/>
            <w:left w:w="15" w:type="dxa"/>
            <w:bottom w:w="15" w:type="dxa"/>
            <w:right w:w="15" w:type="dxa"/>
          </w:tblCellMar>
        </w:tblPrEx>
        <w:trPr>
          <w:trHeight w:val="300" w:hRule="atLeast"/>
        </w:trPr>
        <w:tc>
          <w:tcPr>
            <w:tcW w:w="4594"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5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15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5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5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上缴上级支出</w:t>
            </w:r>
          </w:p>
        </w:tc>
        <w:tc>
          <w:tcPr>
            <w:tcW w:w="15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经营支出</w:t>
            </w:r>
          </w:p>
        </w:tc>
        <w:tc>
          <w:tcPr>
            <w:tcW w:w="15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对附属单位补助支出</w:t>
            </w:r>
          </w:p>
        </w:tc>
      </w:tr>
      <w:tr>
        <w:tblPrEx>
          <w:tblLayout w:type="fixed"/>
          <w:tblCellMar>
            <w:top w:w="15" w:type="dxa"/>
            <w:left w:w="15" w:type="dxa"/>
            <w:bottom w:w="15" w:type="dxa"/>
            <w:right w:w="15" w:type="dxa"/>
          </w:tblCellMar>
        </w:tblPrEx>
        <w:trPr>
          <w:trHeight w:val="312" w:hRule="atLeast"/>
        </w:trPr>
        <w:tc>
          <w:tcPr>
            <w:tcW w:w="919" w:type="dxa"/>
            <w:gridSpan w:val="2"/>
            <w:vMerge w:val="restart"/>
            <w:tcBorders>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3675"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5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6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12" w:hRule="atLeast"/>
        </w:trPr>
        <w:tc>
          <w:tcPr>
            <w:tcW w:w="919" w:type="dxa"/>
            <w:gridSpan w:val="2"/>
            <w:vMerge w:val="continue"/>
            <w:tcBorders>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3675" w:type="dxa"/>
            <w:gridSpan w:val="4"/>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9" w:type="dxa"/>
            <w:vMerge w:val="continue"/>
            <w:tcBorders>
              <w:top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12" w:hRule="atLeast"/>
        </w:trPr>
        <w:tc>
          <w:tcPr>
            <w:tcW w:w="919" w:type="dxa"/>
            <w:gridSpan w:val="2"/>
            <w:vMerge w:val="continue"/>
            <w:tcBorders>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3675" w:type="dxa"/>
            <w:gridSpan w:val="4"/>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9" w:type="dxa"/>
            <w:vMerge w:val="continue"/>
            <w:tcBorders>
              <w:top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4594" w:type="dxa"/>
            <w:gridSpan w:val="6"/>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56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56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565" w:type="dxa"/>
            <w:gridSpan w:val="2"/>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565" w:type="dxa"/>
            <w:gridSpan w:val="2"/>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565" w:type="dxa"/>
            <w:gridSpan w:val="2"/>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569"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Layout w:type="fixed"/>
          <w:tblCellMar>
            <w:top w:w="15" w:type="dxa"/>
            <w:left w:w="15" w:type="dxa"/>
            <w:bottom w:w="15" w:type="dxa"/>
            <w:right w:w="15" w:type="dxa"/>
          </w:tblCellMar>
        </w:tblPrEx>
        <w:trPr>
          <w:trHeight w:val="300" w:hRule="atLeast"/>
        </w:trPr>
        <w:tc>
          <w:tcPr>
            <w:tcW w:w="4594" w:type="dxa"/>
            <w:gridSpan w:val="6"/>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合计</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2"/>
              </w:rPr>
              <w:t>607.46</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2"/>
              </w:rPr>
              <w:t>281.88</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2"/>
              </w:rPr>
              <w:t>325.58</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131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201</w:t>
            </w:r>
          </w:p>
        </w:tc>
        <w:tc>
          <w:tcPr>
            <w:tcW w:w="3284"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一般公共服务支出</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588.04</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262.46</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325.58</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131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20103</w:t>
            </w:r>
          </w:p>
        </w:tc>
        <w:tc>
          <w:tcPr>
            <w:tcW w:w="3284" w:type="dxa"/>
            <w:gridSpan w:val="3"/>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政府办公厅（室）及相关机构事务</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325.58</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325.58</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131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2010305</w:t>
            </w:r>
          </w:p>
        </w:tc>
        <w:tc>
          <w:tcPr>
            <w:tcW w:w="3284" w:type="dxa"/>
            <w:gridSpan w:val="3"/>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专项业务活动</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225.58</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225.58</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131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2010308</w:t>
            </w:r>
          </w:p>
        </w:tc>
        <w:tc>
          <w:tcPr>
            <w:tcW w:w="3284" w:type="dxa"/>
            <w:gridSpan w:val="3"/>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信访事务</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100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131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20131</w:t>
            </w:r>
          </w:p>
        </w:tc>
        <w:tc>
          <w:tcPr>
            <w:tcW w:w="3284" w:type="dxa"/>
            <w:gridSpan w:val="3"/>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党委办公厅（室）及相关机构事务</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244.46</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244.46</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131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2013101</w:t>
            </w:r>
          </w:p>
        </w:tc>
        <w:tc>
          <w:tcPr>
            <w:tcW w:w="3284" w:type="dxa"/>
            <w:gridSpan w:val="3"/>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行政运行</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244.46</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244.46</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131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20136</w:t>
            </w:r>
          </w:p>
        </w:tc>
        <w:tc>
          <w:tcPr>
            <w:tcW w:w="3284" w:type="dxa"/>
            <w:gridSpan w:val="3"/>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其他共产党事务支出</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18</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18</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131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2013699</w:t>
            </w:r>
          </w:p>
        </w:tc>
        <w:tc>
          <w:tcPr>
            <w:tcW w:w="3284" w:type="dxa"/>
            <w:gridSpan w:val="3"/>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其他共产党事务支出</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18</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18</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131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208</w:t>
            </w:r>
          </w:p>
        </w:tc>
        <w:tc>
          <w:tcPr>
            <w:tcW w:w="3284" w:type="dxa"/>
            <w:gridSpan w:val="3"/>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社会保障和就业支出</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14.60</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14.60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131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20805</w:t>
            </w:r>
          </w:p>
        </w:tc>
        <w:tc>
          <w:tcPr>
            <w:tcW w:w="3284" w:type="dxa"/>
            <w:gridSpan w:val="3"/>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行政事业单位离退休</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14.07</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14.07</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131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2080505</w:t>
            </w:r>
          </w:p>
        </w:tc>
        <w:tc>
          <w:tcPr>
            <w:tcW w:w="3284" w:type="dxa"/>
            <w:gridSpan w:val="3"/>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机关事业单位基本养老保险缴费支出</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14.07</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14.07</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131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20899</w:t>
            </w:r>
          </w:p>
        </w:tc>
        <w:tc>
          <w:tcPr>
            <w:tcW w:w="3284" w:type="dxa"/>
            <w:gridSpan w:val="3"/>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其他社会保障和就业支出</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0.53</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0.53</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131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2089901</w:t>
            </w:r>
          </w:p>
        </w:tc>
        <w:tc>
          <w:tcPr>
            <w:tcW w:w="3284" w:type="dxa"/>
            <w:gridSpan w:val="3"/>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其他社会保障和就业支出</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0.53</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0.53</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131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210</w:t>
            </w:r>
          </w:p>
        </w:tc>
        <w:tc>
          <w:tcPr>
            <w:tcW w:w="3284" w:type="dxa"/>
            <w:gridSpan w:val="3"/>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医疗卫生与计划生育支出</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4.34</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4.34</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131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21011</w:t>
            </w:r>
          </w:p>
        </w:tc>
        <w:tc>
          <w:tcPr>
            <w:tcW w:w="3284" w:type="dxa"/>
            <w:gridSpan w:val="3"/>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行政事业单位医疗</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4.34</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4.34</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131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2101101</w:t>
            </w:r>
          </w:p>
        </w:tc>
        <w:tc>
          <w:tcPr>
            <w:tcW w:w="3284" w:type="dxa"/>
            <w:gridSpan w:val="3"/>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行政单位医疗</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4.34</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4.34</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131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213</w:t>
            </w:r>
          </w:p>
        </w:tc>
        <w:tc>
          <w:tcPr>
            <w:tcW w:w="3284" w:type="dxa"/>
            <w:gridSpan w:val="3"/>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农林水支出</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0.47</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0.47</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131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21305</w:t>
            </w:r>
          </w:p>
        </w:tc>
        <w:tc>
          <w:tcPr>
            <w:tcW w:w="3284" w:type="dxa"/>
            <w:gridSpan w:val="3"/>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扶贫</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0.47</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0.47</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1310"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2130599</w:t>
            </w:r>
          </w:p>
        </w:tc>
        <w:tc>
          <w:tcPr>
            <w:tcW w:w="3284" w:type="dxa"/>
            <w:gridSpan w:val="3"/>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其他扶贫支出</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0.47</w:t>
            </w:r>
          </w:p>
        </w:tc>
        <w:tc>
          <w:tcPr>
            <w:tcW w:w="156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0.47</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56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13988" w:type="dxa"/>
            <w:gridSpan w:val="15"/>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注：本表反映部门本年度各项支出情况。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13981" w:type="dxa"/>
        <w:tblInd w:w="0" w:type="dxa"/>
        <w:tblLayout w:type="fixed"/>
        <w:tblCellMar>
          <w:top w:w="15" w:type="dxa"/>
          <w:left w:w="15" w:type="dxa"/>
          <w:bottom w:w="15" w:type="dxa"/>
          <w:right w:w="15" w:type="dxa"/>
        </w:tblCellMar>
      </w:tblPr>
      <w:tblGrid>
        <w:gridCol w:w="2726"/>
        <w:gridCol w:w="495"/>
        <w:gridCol w:w="2655"/>
        <w:gridCol w:w="2726"/>
        <w:gridCol w:w="496"/>
        <w:gridCol w:w="1350"/>
        <w:gridCol w:w="277"/>
        <w:gridCol w:w="530"/>
        <w:gridCol w:w="1097"/>
        <w:gridCol w:w="1629"/>
      </w:tblGrid>
      <w:tr>
        <w:tblPrEx>
          <w:tblLayout w:type="fixed"/>
          <w:tblCellMar>
            <w:top w:w="15" w:type="dxa"/>
            <w:left w:w="15" w:type="dxa"/>
            <w:bottom w:w="15" w:type="dxa"/>
            <w:right w:w="15" w:type="dxa"/>
          </w:tblCellMar>
        </w:tblPrEx>
        <w:trPr>
          <w:trHeight w:val="375" w:hRule="atLeast"/>
        </w:trPr>
        <w:tc>
          <w:tcPr>
            <w:tcW w:w="13981" w:type="dxa"/>
            <w:gridSpan w:val="10"/>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财政拨款收入支出决算总表</w:t>
            </w:r>
          </w:p>
        </w:tc>
      </w:tr>
      <w:tr>
        <w:tblPrEx>
          <w:tblLayout w:type="fixed"/>
          <w:tblCellMar>
            <w:top w:w="15" w:type="dxa"/>
            <w:left w:w="15" w:type="dxa"/>
            <w:bottom w:w="15" w:type="dxa"/>
            <w:right w:w="15" w:type="dxa"/>
          </w:tblCellMar>
        </w:tblPrEx>
        <w:trPr>
          <w:trHeight w:val="300" w:hRule="atLeast"/>
        </w:trPr>
        <w:tc>
          <w:tcPr>
            <w:tcW w:w="2726" w:type="dxa"/>
            <w:vAlign w:val="center"/>
          </w:tcPr>
          <w:p>
            <w:pPr>
              <w:jc w:val="left"/>
              <w:rPr>
                <w:rFonts w:ascii="宋体" w:hAnsi="宋体" w:cs="宋体"/>
                <w:color w:val="000000"/>
                <w:sz w:val="18"/>
                <w:szCs w:val="18"/>
              </w:rPr>
            </w:pPr>
          </w:p>
        </w:tc>
        <w:tc>
          <w:tcPr>
            <w:tcW w:w="495" w:type="dxa"/>
            <w:vAlign w:val="center"/>
          </w:tcPr>
          <w:p>
            <w:pPr>
              <w:jc w:val="left"/>
              <w:rPr>
                <w:rFonts w:ascii="宋体" w:hAnsi="宋体" w:cs="宋体"/>
                <w:color w:val="000000"/>
                <w:sz w:val="18"/>
                <w:szCs w:val="18"/>
              </w:rPr>
            </w:pPr>
          </w:p>
        </w:tc>
        <w:tc>
          <w:tcPr>
            <w:tcW w:w="2655" w:type="dxa"/>
            <w:vAlign w:val="center"/>
          </w:tcPr>
          <w:p>
            <w:pPr>
              <w:jc w:val="left"/>
              <w:rPr>
                <w:rFonts w:ascii="宋体" w:hAnsi="宋体" w:cs="宋体"/>
                <w:color w:val="000000"/>
                <w:sz w:val="18"/>
                <w:szCs w:val="18"/>
              </w:rPr>
            </w:pPr>
          </w:p>
        </w:tc>
        <w:tc>
          <w:tcPr>
            <w:tcW w:w="2726" w:type="dxa"/>
            <w:vAlign w:val="center"/>
          </w:tcPr>
          <w:p>
            <w:pPr>
              <w:jc w:val="left"/>
              <w:rPr>
                <w:rFonts w:ascii="宋体" w:hAnsi="宋体" w:cs="宋体"/>
                <w:color w:val="000000"/>
                <w:sz w:val="18"/>
                <w:szCs w:val="18"/>
              </w:rPr>
            </w:pPr>
          </w:p>
        </w:tc>
        <w:tc>
          <w:tcPr>
            <w:tcW w:w="496" w:type="dxa"/>
            <w:vAlign w:val="center"/>
          </w:tcPr>
          <w:p>
            <w:pPr>
              <w:jc w:val="left"/>
              <w:rPr>
                <w:rFonts w:ascii="宋体" w:hAnsi="宋体" w:cs="宋体"/>
                <w:color w:val="000000"/>
                <w:sz w:val="18"/>
                <w:szCs w:val="18"/>
              </w:rPr>
            </w:pPr>
          </w:p>
        </w:tc>
        <w:tc>
          <w:tcPr>
            <w:tcW w:w="1350" w:type="dxa"/>
            <w:vAlign w:val="center"/>
          </w:tcPr>
          <w:p>
            <w:pPr>
              <w:jc w:val="left"/>
              <w:rPr>
                <w:rFonts w:ascii="宋体" w:hAnsi="宋体" w:cs="宋体"/>
                <w:color w:val="000000"/>
                <w:sz w:val="18"/>
                <w:szCs w:val="18"/>
              </w:rPr>
            </w:pPr>
          </w:p>
        </w:tc>
        <w:tc>
          <w:tcPr>
            <w:tcW w:w="807" w:type="dxa"/>
            <w:gridSpan w:val="2"/>
            <w:vAlign w:val="center"/>
          </w:tcPr>
          <w:p>
            <w:pPr>
              <w:jc w:val="left"/>
              <w:rPr>
                <w:rFonts w:ascii="宋体" w:hAnsi="宋体" w:cs="宋体"/>
                <w:color w:val="000000"/>
                <w:sz w:val="18"/>
                <w:szCs w:val="18"/>
              </w:rPr>
            </w:pPr>
          </w:p>
        </w:tc>
        <w:tc>
          <w:tcPr>
            <w:tcW w:w="2726" w:type="dxa"/>
            <w:gridSpan w:val="2"/>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公开04表</w:t>
            </w:r>
          </w:p>
        </w:tc>
      </w:tr>
      <w:tr>
        <w:tblPrEx>
          <w:tblLayout w:type="fixed"/>
          <w:tblCellMar>
            <w:top w:w="15" w:type="dxa"/>
            <w:left w:w="15" w:type="dxa"/>
            <w:bottom w:w="15" w:type="dxa"/>
            <w:right w:w="15" w:type="dxa"/>
          </w:tblCellMar>
        </w:tblPrEx>
        <w:trPr>
          <w:trHeight w:val="300" w:hRule="atLeast"/>
        </w:trPr>
        <w:tc>
          <w:tcPr>
            <w:tcW w:w="5876" w:type="dxa"/>
            <w:gridSpan w:val="3"/>
            <w:tcBorders>
              <w:bottom w:val="single" w:color="auto" w:sz="4" w:space="0"/>
            </w:tcBorders>
            <w:vAlign w:val="center"/>
          </w:tcPr>
          <w:p>
            <w:pPr>
              <w:jc w:val="left"/>
              <w:rPr>
                <w:rFonts w:ascii="宋体" w:hAnsi="宋体" w:cs="宋体"/>
                <w:color w:val="000000"/>
                <w:sz w:val="18"/>
                <w:szCs w:val="18"/>
              </w:rPr>
            </w:pPr>
            <w:r>
              <w:rPr>
                <w:rFonts w:hint="eastAsia" w:ascii="宋体" w:hAnsi="宋体" w:cs="宋体"/>
                <w:color w:val="000000"/>
                <w:kern w:val="0"/>
                <w:sz w:val="22"/>
              </w:rPr>
              <w:t>部门：中共封丘县委群众工作部</w:t>
            </w:r>
          </w:p>
        </w:tc>
        <w:tc>
          <w:tcPr>
            <w:tcW w:w="2726" w:type="dxa"/>
            <w:tcBorders>
              <w:bottom w:val="single" w:color="auto" w:sz="4" w:space="0"/>
            </w:tcBorders>
            <w:vAlign w:val="center"/>
          </w:tcPr>
          <w:p>
            <w:pPr>
              <w:widowControl/>
              <w:jc w:val="center"/>
              <w:textAlignment w:val="center"/>
              <w:rPr>
                <w:rFonts w:ascii="宋体" w:hAnsi="宋体" w:cs="宋体"/>
                <w:color w:val="000000"/>
                <w:sz w:val="22"/>
              </w:rPr>
            </w:pPr>
          </w:p>
        </w:tc>
        <w:tc>
          <w:tcPr>
            <w:tcW w:w="496" w:type="dxa"/>
            <w:tcBorders>
              <w:bottom w:val="single" w:color="auto" w:sz="4" w:space="0"/>
            </w:tcBorders>
            <w:vAlign w:val="center"/>
          </w:tcPr>
          <w:p>
            <w:pPr>
              <w:jc w:val="left"/>
              <w:rPr>
                <w:rFonts w:ascii="宋体" w:hAnsi="宋体" w:cs="宋体"/>
                <w:color w:val="000000"/>
                <w:sz w:val="18"/>
                <w:szCs w:val="18"/>
              </w:rPr>
            </w:pPr>
          </w:p>
        </w:tc>
        <w:tc>
          <w:tcPr>
            <w:tcW w:w="1350" w:type="dxa"/>
            <w:tcBorders>
              <w:bottom w:val="single" w:color="auto" w:sz="4" w:space="0"/>
            </w:tcBorders>
            <w:vAlign w:val="center"/>
          </w:tcPr>
          <w:p>
            <w:pPr>
              <w:jc w:val="left"/>
              <w:rPr>
                <w:rFonts w:ascii="宋体" w:hAnsi="宋体" w:cs="宋体"/>
                <w:color w:val="000000"/>
                <w:sz w:val="18"/>
                <w:szCs w:val="18"/>
              </w:rPr>
            </w:pPr>
          </w:p>
        </w:tc>
        <w:tc>
          <w:tcPr>
            <w:tcW w:w="807" w:type="dxa"/>
            <w:gridSpan w:val="2"/>
            <w:tcBorders>
              <w:bottom w:val="single" w:color="auto" w:sz="4" w:space="0"/>
            </w:tcBorders>
            <w:vAlign w:val="center"/>
          </w:tcPr>
          <w:p>
            <w:pPr>
              <w:jc w:val="left"/>
              <w:rPr>
                <w:rFonts w:ascii="宋体" w:hAnsi="宋体" w:cs="宋体"/>
                <w:color w:val="000000"/>
                <w:sz w:val="18"/>
                <w:szCs w:val="18"/>
              </w:rPr>
            </w:pPr>
          </w:p>
        </w:tc>
        <w:tc>
          <w:tcPr>
            <w:tcW w:w="2726" w:type="dxa"/>
            <w:gridSpan w:val="2"/>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Layout w:type="fixed"/>
          <w:tblCellMar>
            <w:top w:w="15" w:type="dxa"/>
            <w:left w:w="15" w:type="dxa"/>
            <w:bottom w:w="15" w:type="dxa"/>
            <w:right w:w="15" w:type="dxa"/>
          </w:tblCellMar>
        </w:tblPrEx>
        <w:trPr>
          <w:trHeight w:val="300" w:hRule="atLeast"/>
        </w:trPr>
        <w:tc>
          <w:tcPr>
            <w:tcW w:w="5876"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8105" w:type="dxa"/>
            <w:gridSpan w:val="7"/>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Layout w:type="fixed"/>
          <w:tblCellMar>
            <w:top w:w="15" w:type="dxa"/>
            <w:left w:w="15" w:type="dxa"/>
            <w:bottom w:w="15" w:type="dxa"/>
            <w:right w:w="15" w:type="dxa"/>
          </w:tblCellMar>
        </w:tblPrEx>
        <w:trPr>
          <w:trHeight w:val="312" w:hRule="atLeast"/>
        </w:trPr>
        <w:tc>
          <w:tcPr>
            <w:tcW w:w="2726"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495"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2655"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2726" w:type="dxa"/>
            <w:vMerge w:val="restart"/>
            <w:tcBorders>
              <w:top w:val="single" w:color="auto" w:sz="4" w:space="0"/>
              <w:bottom w:val="single" w:color="auto" w:sz="4" w:space="0"/>
              <w:right w:val="single" w:color="000000" w:sz="4" w:space="0"/>
            </w:tcBorders>
            <w:vAlign w:val="center"/>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项目</w:t>
            </w:r>
          </w:p>
        </w:tc>
        <w:tc>
          <w:tcPr>
            <w:tcW w:w="496"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627" w:type="dxa"/>
            <w:gridSpan w:val="2"/>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627" w:type="dxa"/>
            <w:gridSpan w:val="2"/>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w:t>
            </w:r>
          </w:p>
        </w:tc>
        <w:tc>
          <w:tcPr>
            <w:tcW w:w="1629"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w:t>
            </w:r>
          </w:p>
        </w:tc>
      </w:tr>
      <w:tr>
        <w:tblPrEx>
          <w:tblLayout w:type="fixed"/>
          <w:tblCellMar>
            <w:top w:w="15" w:type="dxa"/>
            <w:left w:w="15" w:type="dxa"/>
            <w:bottom w:w="15" w:type="dxa"/>
            <w:right w:w="15" w:type="dxa"/>
          </w:tblCellMar>
        </w:tblPrEx>
        <w:trPr>
          <w:trHeight w:val="600" w:hRule="atLeast"/>
        </w:trPr>
        <w:tc>
          <w:tcPr>
            <w:tcW w:w="2726" w:type="dxa"/>
            <w:vMerge w:val="continue"/>
            <w:tcBorders>
              <w:top w:val="single" w:color="auto" w:sz="4" w:space="0"/>
              <w:left w:val="single" w:color="000000" w:sz="4" w:space="0"/>
              <w:bottom w:val="single" w:color="auto" w:sz="4" w:space="0"/>
              <w:right w:val="single" w:color="000000" w:sz="4" w:space="0"/>
            </w:tcBorders>
            <w:vAlign w:val="center"/>
          </w:tcPr>
          <w:p>
            <w:pPr>
              <w:rPr>
                <w:rFonts w:ascii="宋体" w:hAnsi="宋体" w:cs="宋体"/>
                <w:color w:val="000000"/>
                <w:sz w:val="20"/>
                <w:szCs w:val="20"/>
              </w:rPr>
            </w:pPr>
          </w:p>
        </w:tc>
        <w:tc>
          <w:tcPr>
            <w:tcW w:w="495"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655"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726" w:type="dxa"/>
            <w:vMerge w:val="continue"/>
            <w:tcBorders>
              <w:top w:val="single" w:color="auto" w:sz="4" w:space="0"/>
              <w:bottom w:val="single" w:color="auto" w:sz="4" w:space="0"/>
              <w:right w:val="single" w:color="000000" w:sz="4" w:space="0"/>
            </w:tcBorders>
            <w:vAlign w:val="bottom"/>
          </w:tcPr>
          <w:p>
            <w:pPr>
              <w:rPr>
                <w:rFonts w:ascii="宋体" w:hAnsi="宋体" w:cs="宋体"/>
                <w:color w:val="000000"/>
                <w:sz w:val="20"/>
                <w:szCs w:val="20"/>
              </w:rPr>
            </w:pPr>
          </w:p>
        </w:tc>
        <w:tc>
          <w:tcPr>
            <w:tcW w:w="496"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27"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27"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29"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2726" w:type="dxa"/>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495"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265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26" w:type="dxa"/>
            <w:tcBorders>
              <w:top w:val="single" w:color="auto" w:sz="4" w:space="0"/>
              <w:bottom w:val="single" w:color="000000" w:sz="4" w:space="0"/>
              <w:right w:val="single" w:color="000000" w:sz="4" w:space="0"/>
            </w:tcBorders>
            <w:vAlign w:val="bottom"/>
          </w:tcPr>
          <w:p>
            <w:pPr>
              <w:widowControl/>
              <w:textAlignment w:val="bottom"/>
              <w:rPr>
                <w:rFonts w:ascii="宋体" w:hAnsi="宋体" w:cs="宋体"/>
                <w:color w:val="000000"/>
                <w:sz w:val="20"/>
                <w:szCs w:val="20"/>
              </w:rPr>
            </w:pPr>
            <w:r>
              <w:rPr>
                <w:rFonts w:hint="eastAsia" w:ascii="宋体" w:hAnsi="宋体" w:cs="宋体"/>
                <w:color w:val="000000"/>
                <w:kern w:val="0"/>
                <w:sz w:val="20"/>
                <w:szCs w:val="20"/>
              </w:rPr>
              <w:t>栏次</w:t>
            </w:r>
          </w:p>
        </w:tc>
        <w:tc>
          <w:tcPr>
            <w:tcW w:w="496"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627" w:type="dxa"/>
            <w:gridSpan w:val="2"/>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627" w:type="dxa"/>
            <w:gridSpan w:val="2"/>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629"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一、一般公共预算财政拨款</w:t>
            </w: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65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597.08</w:t>
            </w: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一、一般公共服务支出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28</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588.04</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588.04</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二、政府性基金预算财政拨款</w:t>
            </w: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265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二、外交支出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29</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三、国防支出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30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四、公共安全支出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31</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五、教育支出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32</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六、科学技术支出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33</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七、文化体育与传媒支出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34</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八、社会保障和就业支出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35</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14.60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14.60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九、医疗卫生与计划生育支出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36</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4.34</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4.34</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十、节能环保支出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37</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十一、城乡社区支出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38</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十二、农林水支出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39</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0.47</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0.47</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十三、交通运输支出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40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十四、资源勘探信息等支出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41</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十五、商业服务业等支出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42</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十六、金融支出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43</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十七、援助其他地区支出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44</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十八、国土海洋气象等支出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45</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十九、住房保障支出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46</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二十、粮油物资储备支出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47</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二十一、其他支出</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48</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本年收入合计</w:t>
            </w: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265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597.08</w:t>
            </w:r>
          </w:p>
        </w:tc>
        <w:tc>
          <w:tcPr>
            <w:tcW w:w="2726" w:type="dxa"/>
            <w:tcBorders>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2"/>
              </w:rPr>
              <w:t>本年支出合计</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49</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607.46</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607.46</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年初财政拨款结转和结余</w:t>
            </w: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265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66.58</w:t>
            </w: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年末财政拨款结转和结余</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50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56.20</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56.20</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一般公共预算财政拨款</w:t>
            </w: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265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66.58</w:t>
            </w:r>
          </w:p>
        </w:tc>
        <w:tc>
          <w:tcPr>
            <w:tcW w:w="2726"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51</w:t>
            </w:r>
          </w:p>
        </w:tc>
        <w:tc>
          <w:tcPr>
            <w:tcW w:w="1627" w:type="dxa"/>
            <w:gridSpan w:val="2"/>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政府性基金预算财政拨款</w:t>
            </w: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265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2726"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52</w:t>
            </w:r>
          </w:p>
        </w:tc>
        <w:tc>
          <w:tcPr>
            <w:tcW w:w="1627" w:type="dxa"/>
            <w:gridSpan w:val="2"/>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2655"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53</w:t>
            </w:r>
          </w:p>
        </w:tc>
        <w:tc>
          <w:tcPr>
            <w:tcW w:w="1627" w:type="dxa"/>
            <w:gridSpan w:val="2"/>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49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265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663.66</w:t>
            </w:r>
          </w:p>
        </w:tc>
        <w:tc>
          <w:tcPr>
            <w:tcW w:w="2726" w:type="dxa"/>
            <w:tcBorders>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2"/>
              </w:rPr>
              <w:t>总计</w:t>
            </w:r>
          </w:p>
        </w:tc>
        <w:tc>
          <w:tcPr>
            <w:tcW w:w="49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54</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663.66</w:t>
            </w:r>
          </w:p>
        </w:tc>
        <w:tc>
          <w:tcPr>
            <w:tcW w:w="1627"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663.66</w:t>
            </w:r>
          </w:p>
        </w:tc>
        <w:tc>
          <w:tcPr>
            <w:tcW w:w="162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13981" w:type="dxa"/>
            <w:gridSpan w:val="1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注：本表反映部门本年度一般公共预算财政拨款和政府性基金预算财政拨款的总收支和年末结转结余情况。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13982" w:type="dxa"/>
        <w:tblInd w:w="0" w:type="dxa"/>
        <w:tblLayout w:type="fixed"/>
        <w:tblCellMar>
          <w:top w:w="15" w:type="dxa"/>
          <w:left w:w="15" w:type="dxa"/>
          <w:bottom w:w="15" w:type="dxa"/>
          <w:right w:w="15" w:type="dxa"/>
        </w:tblCellMar>
      </w:tblPr>
      <w:tblGrid>
        <w:gridCol w:w="640"/>
        <w:gridCol w:w="285"/>
        <w:gridCol w:w="24"/>
        <w:gridCol w:w="829"/>
        <w:gridCol w:w="1137"/>
        <w:gridCol w:w="329"/>
        <w:gridCol w:w="3579"/>
        <w:gridCol w:w="3365"/>
        <w:gridCol w:w="214"/>
        <w:gridCol w:w="931"/>
        <w:gridCol w:w="2649"/>
      </w:tblGrid>
      <w:tr>
        <w:tblPrEx>
          <w:tblLayout w:type="fixed"/>
          <w:tblCellMar>
            <w:top w:w="15" w:type="dxa"/>
            <w:left w:w="15" w:type="dxa"/>
            <w:bottom w:w="15" w:type="dxa"/>
            <w:right w:w="15" w:type="dxa"/>
          </w:tblCellMar>
        </w:tblPrEx>
        <w:trPr>
          <w:trHeight w:val="375" w:hRule="atLeast"/>
        </w:trPr>
        <w:tc>
          <w:tcPr>
            <w:tcW w:w="13982" w:type="dxa"/>
            <w:gridSpan w:val="11"/>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一般公共预算财政拨款支出决算表</w:t>
            </w:r>
          </w:p>
        </w:tc>
      </w:tr>
      <w:tr>
        <w:tblPrEx>
          <w:tblLayout w:type="fixed"/>
          <w:tblCellMar>
            <w:top w:w="15" w:type="dxa"/>
            <w:left w:w="15" w:type="dxa"/>
            <w:bottom w:w="15" w:type="dxa"/>
            <w:right w:w="15" w:type="dxa"/>
          </w:tblCellMar>
        </w:tblPrEx>
        <w:trPr>
          <w:trHeight w:val="300" w:hRule="atLeast"/>
        </w:trPr>
        <w:tc>
          <w:tcPr>
            <w:tcW w:w="640" w:type="dxa"/>
            <w:vAlign w:val="center"/>
          </w:tcPr>
          <w:p>
            <w:pPr>
              <w:jc w:val="left"/>
              <w:rPr>
                <w:rFonts w:ascii="宋体" w:hAnsi="宋体" w:cs="宋体"/>
                <w:color w:val="000000"/>
                <w:sz w:val="18"/>
                <w:szCs w:val="18"/>
              </w:rPr>
            </w:pPr>
          </w:p>
        </w:tc>
        <w:tc>
          <w:tcPr>
            <w:tcW w:w="1138" w:type="dxa"/>
            <w:gridSpan w:val="3"/>
            <w:vAlign w:val="center"/>
          </w:tcPr>
          <w:p>
            <w:pPr>
              <w:jc w:val="left"/>
              <w:rPr>
                <w:rFonts w:ascii="宋体" w:hAnsi="宋体" w:cs="宋体"/>
                <w:color w:val="000000"/>
                <w:sz w:val="18"/>
                <w:szCs w:val="18"/>
              </w:rPr>
            </w:pPr>
          </w:p>
        </w:tc>
        <w:tc>
          <w:tcPr>
            <w:tcW w:w="1137" w:type="dxa"/>
            <w:vAlign w:val="center"/>
          </w:tcPr>
          <w:p>
            <w:pPr>
              <w:jc w:val="left"/>
              <w:rPr>
                <w:rFonts w:ascii="宋体" w:hAnsi="宋体" w:cs="宋体"/>
                <w:color w:val="000000"/>
                <w:sz w:val="18"/>
                <w:szCs w:val="18"/>
              </w:rPr>
            </w:pPr>
          </w:p>
        </w:tc>
        <w:tc>
          <w:tcPr>
            <w:tcW w:w="329" w:type="dxa"/>
            <w:vAlign w:val="center"/>
          </w:tcPr>
          <w:p>
            <w:pPr>
              <w:jc w:val="left"/>
              <w:rPr>
                <w:rFonts w:ascii="宋体" w:hAnsi="宋体" w:cs="宋体"/>
                <w:color w:val="000000"/>
                <w:sz w:val="18"/>
                <w:szCs w:val="18"/>
              </w:rPr>
            </w:pPr>
          </w:p>
        </w:tc>
        <w:tc>
          <w:tcPr>
            <w:tcW w:w="6944" w:type="dxa"/>
            <w:gridSpan w:val="2"/>
            <w:vAlign w:val="center"/>
          </w:tcPr>
          <w:p>
            <w:pPr>
              <w:jc w:val="left"/>
              <w:rPr>
                <w:rFonts w:ascii="宋体" w:hAnsi="宋体" w:cs="宋体"/>
                <w:color w:val="000000"/>
                <w:sz w:val="18"/>
                <w:szCs w:val="18"/>
              </w:rPr>
            </w:pPr>
          </w:p>
        </w:tc>
        <w:tc>
          <w:tcPr>
            <w:tcW w:w="1145" w:type="dxa"/>
            <w:gridSpan w:val="2"/>
            <w:vAlign w:val="center"/>
          </w:tcPr>
          <w:p>
            <w:pPr>
              <w:jc w:val="left"/>
              <w:rPr>
                <w:rFonts w:ascii="宋体" w:hAnsi="宋体" w:cs="宋体"/>
                <w:color w:val="000000"/>
                <w:sz w:val="18"/>
                <w:szCs w:val="18"/>
              </w:rPr>
            </w:pPr>
          </w:p>
        </w:tc>
        <w:tc>
          <w:tcPr>
            <w:tcW w:w="2649" w:type="dxa"/>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公开05表</w:t>
            </w:r>
          </w:p>
        </w:tc>
      </w:tr>
      <w:tr>
        <w:tblPrEx>
          <w:tblLayout w:type="fixed"/>
          <w:tblCellMar>
            <w:top w:w="15" w:type="dxa"/>
            <w:left w:w="15" w:type="dxa"/>
            <w:bottom w:w="15" w:type="dxa"/>
            <w:right w:w="15" w:type="dxa"/>
          </w:tblCellMar>
        </w:tblPrEx>
        <w:trPr>
          <w:trHeight w:val="300" w:hRule="atLeast"/>
        </w:trPr>
        <w:tc>
          <w:tcPr>
            <w:tcW w:w="3244" w:type="dxa"/>
            <w:gridSpan w:val="6"/>
            <w:tcBorders>
              <w:bottom w:val="single" w:color="auto" w:sz="4" w:space="0"/>
            </w:tcBorders>
            <w:vAlign w:val="center"/>
          </w:tcPr>
          <w:p>
            <w:pPr>
              <w:jc w:val="left"/>
              <w:rPr>
                <w:rFonts w:ascii="宋体" w:hAnsi="宋体" w:cs="宋体"/>
                <w:color w:val="000000"/>
                <w:sz w:val="22"/>
              </w:rPr>
            </w:pPr>
            <w:r>
              <w:rPr>
                <w:rFonts w:hint="eastAsia" w:ascii="宋体" w:hAnsi="宋体" w:cs="宋体"/>
                <w:color w:val="000000"/>
                <w:kern w:val="0"/>
                <w:sz w:val="22"/>
              </w:rPr>
              <w:t>部门：中共封丘县委群众工作部</w:t>
            </w:r>
          </w:p>
        </w:tc>
        <w:tc>
          <w:tcPr>
            <w:tcW w:w="6944" w:type="dxa"/>
            <w:gridSpan w:val="2"/>
            <w:tcBorders>
              <w:bottom w:val="single" w:color="auto" w:sz="4" w:space="0"/>
            </w:tcBorders>
            <w:vAlign w:val="center"/>
          </w:tcPr>
          <w:p>
            <w:pPr>
              <w:jc w:val="left"/>
              <w:rPr>
                <w:rFonts w:ascii="宋体" w:hAnsi="宋体" w:cs="宋体"/>
                <w:color w:val="000000"/>
                <w:sz w:val="18"/>
                <w:szCs w:val="18"/>
              </w:rPr>
            </w:pPr>
          </w:p>
        </w:tc>
        <w:tc>
          <w:tcPr>
            <w:tcW w:w="1145" w:type="dxa"/>
            <w:gridSpan w:val="2"/>
            <w:tcBorders>
              <w:bottom w:val="single" w:color="auto" w:sz="4" w:space="0"/>
            </w:tcBorders>
            <w:vAlign w:val="center"/>
          </w:tcPr>
          <w:p>
            <w:pPr>
              <w:jc w:val="left"/>
              <w:rPr>
                <w:rFonts w:ascii="宋体" w:hAnsi="宋体" w:cs="宋体"/>
                <w:color w:val="000000"/>
                <w:sz w:val="18"/>
                <w:szCs w:val="18"/>
              </w:rPr>
            </w:pPr>
          </w:p>
        </w:tc>
        <w:tc>
          <w:tcPr>
            <w:tcW w:w="2649" w:type="dxa"/>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Layout w:type="fixed"/>
          <w:tblCellMar>
            <w:top w:w="15" w:type="dxa"/>
            <w:left w:w="15" w:type="dxa"/>
            <w:bottom w:w="15" w:type="dxa"/>
            <w:right w:w="15" w:type="dxa"/>
          </w:tblCellMar>
        </w:tblPrEx>
        <w:trPr>
          <w:trHeight w:val="300" w:hRule="atLeast"/>
        </w:trPr>
        <w:tc>
          <w:tcPr>
            <w:tcW w:w="3244"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0738"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r>
      <w:tr>
        <w:tblPrEx>
          <w:tblLayout w:type="fixed"/>
          <w:tblCellMar>
            <w:top w:w="15" w:type="dxa"/>
            <w:left w:w="15" w:type="dxa"/>
            <w:bottom w:w="15" w:type="dxa"/>
            <w:right w:w="15" w:type="dxa"/>
          </w:tblCellMar>
        </w:tblPrEx>
        <w:trPr>
          <w:trHeight w:val="312" w:hRule="atLeast"/>
        </w:trPr>
        <w:tc>
          <w:tcPr>
            <w:tcW w:w="949" w:type="dxa"/>
            <w:gridSpan w:val="3"/>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2295" w:type="dxa"/>
            <w:gridSpan w:val="3"/>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3579"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3579" w:type="dxa"/>
            <w:gridSpan w:val="2"/>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3580" w:type="dxa"/>
            <w:gridSpan w:val="2"/>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r>
      <w:tr>
        <w:tblPrEx>
          <w:tblLayout w:type="fixed"/>
          <w:tblCellMar>
            <w:top w:w="15" w:type="dxa"/>
            <w:left w:w="15" w:type="dxa"/>
            <w:bottom w:w="15" w:type="dxa"/>
            <w:right w:w="15" w:type="dxa"/>
          </w:tblCellMar>
        </w:tblPrEx>
        <w:trPr>
          <w:trHeight w:val="312" w:hRule="atLeast"/>
        </w:trPr>
        <w:tc>
          <w:tcPr>
            <w:tcW w:w="949"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295" w:type="dxa"/>
            <w:gridSpan w:val="3"/>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3579"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3579"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358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12" w:hRule="atLeast"/>
        </w:trPr>
        <w:tc>
          <w:tcPr>
            <w:tcW w:w="949"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295" w:type="dxa"/>
            <w:gridSpan w:val="3"/>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3579"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3579"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358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3244" w:type="dxa"/>
            <w:gridSpan w:val="6"/>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3579"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579" w:type="dxa"/>
            <w:gridSpan w:val="2"/>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580" w:type="dxa"/>
            <w:gridSpan w:val="2"/>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Layout w:type="fixed"/>
          <w:tblCellMar>
            <w:top w:w="15" w:type="dxa"/>
            <w:left w:w="15" w:type="dxa"/>
            <w:bottom w:w="15" w:type="dxa"/>
            <w:right w:w="15" w:type="dxa"/>
          </w:tblCellMar>
        </w:tblPrEx>
        <w:trPr>
          <w:trHeight w:val="300" w:hRule="atLeast"/>
        </w:trPr>
        <w:tc>
          <w:tcPr>
            <w:tcW w:w="3244" w:type="dxa"/>
            <w:gridSpan w:val="6"/>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合计</w:t>
            </w:r>
          </w:p>
        </w:tc>
        <w:tc>
          <w:tcPr>
            <w:tcW w:w="357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2"/>
              </w:rPr>
              <w:t>607.46</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2"/>
              </w:rPr>
              <w:t>281.888</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2"/>
              </w:rPr>
              <w:t>325.58</w:t>
            </w:r>
          </w:p>
        </w:tc>
      </w:tr>
      <w:tr>
        <w:tblPrEx>
          <w:tblLayout w:type="fixed"/>
          <w:tblCellMar>
            <w:top w:w="15" w:type="dxa"/>
            <w:left w:w="15" w:type="dxa"/>
            <w:bottom w:w="15" w:type="dxa"/>
            <w:right w:w="15" w:type="dxa"/>
          </w:tblCellMar>
        </w:tblPrEx>
        <w:trPr>
          <w:trHeight w:val="300" w:hRule="atLeast"/>
        </w:trPr>
        <w:tc>
          <w:tcPr>
            <w:tcW w:w="925"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201</w:t>
            </w:r>
          </w:p>
        </w:tc>
        <w:tc>
          <w:tcPr>
            <w:tcW w:w="2319" w:type="dxa"/>
            <w:gridSpan w:val="4"/>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一般公共服务支出</w:t>
            </w:r>
          </w:p>
        </w:tc>
        <w:tc>
          <w:tcPr>
            <w:tcW w:w="357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588.04</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262.46</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325.58</w:t>
            </w:r>
          </w:p>
        </w:tc>
      </w:tr>
      <w:tr>
        <w:tblPrEx>
          <w:tblLayout w:type="fixed"/>
          <w:tblCellMar>
            <w:top w:w="15" w:type="dxa"/>
            <w:left w:w="15" w:type="dxa"/>
            <w:bottom w:w="15" w:type="dxa"/>
            <w:right w:w="15" w:type="dxa"/>
          </w:tblCellMar>
        </w:tblPrEx>
        <w:trPr>
          <w:trHeight w:val="300" w:hRule="atLeast"/>
        </w:trPr>
        <w:tc>
          <w:tcPr>
            <w:tcW w:w="925"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20103</w:t>
            </w:r>
          </w:p>
        </w:tc>
        <w:tc>
          <w:tcPr>
            <w:tcW w:w="2319" w:type="dxa"/>
            <w:gridSpan w:val="4"/>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color w:val="000000"/>
                <w:kern w:val="0"/>
                <w:sz w:val="22"/>
              </w:rPr>
              <w:t>政府办公厅（室）及相关机构事务</w:t>
            </w:r>
          </w:p>
        </w:tc>
        <w:tc>
          <w:tcPr>
            <w:tcW w:w="3579" w:type="dxa"/>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325.58</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0.00</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color w:val="000000"/>
                <w:kern w:val="0"/>
                <w:sz w:val="22"/>
              </w:rPr>
              <w:t>325.58</w:t>
            </w:r>
          </w:p>
        </w:tc>
      </w:tr>
      <w:tr>
        <w:tblPrEx>
          <w:tblLayout w:type="fixed"/>
          <w:tblCellMar>
            <w:top w:w="15" w:type="dxa"/>
            <w:left w:w="15" w:type="dxa"/>
            <w:bottom w:w="15" w:type="dxa"/>
            <w:right w:w="15" w:type="dxa"/>
          </w:tblCellMar>
        </w:tblPrEx>
        <w:trPr>
          <w:trHeight w:val="300" w:hRule="atLeast"/>
        </w:trPr>
        <w:tc>
          <w:tcPr>
            <w:tcW w:w="925"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2010305</w:t>
            </w:r>
          </w:p>
        </w:tc>
        <w:tc>
          <w:tcPr>
            <w:tcW w:w="2319" w:type="dxa"/>
            <w:gridSpan w:val="4"/>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专项业务活动</w:t>
            </w:r>
          </w:p>
        </w:tc>
        <w:tc>
          <w:tcPr>
            <w:tcW w:w="357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225.58</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225.58</w:t>
            </w:r>
          </w:p>
        </w:tc>
      </w:tr>
      <w:tr>
        <w:tblPrEx>
          <w:tblLayout w:type="fixed"/>
          <w:tblCellMar>
            <w:top w:w="15" w:type="dxa"/>
            <w:left w:w="15" w:type="dxa"/>
            <w:bottom w:w="15" w:type="dxa"/>
            <w:right w:w="15" w:type="dxa"/>
          </w:tblCellMar>
        </w:tblPrEx>
        <w:trPr>
          <w:trHeight w:val="300" w:hRule="atLeast"/>
        </w:trPr>
        <w:tc>
          <w:tcPr>
            <w:tcW w:w="925"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2010308</w:t>
            </w:r>
          </w:p>
        </w:tc>
        <w:tc>
          <w:tcPr>
            <w:tcW w:w="2319" w:type="dxa"/>
            <w:gridSpan w:val="4"/>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信访事务</w:t>
            </w:r>
          </w:p>
        </w:tc>
        <w:tc>
          <w:tcPr>
            <w:tcW w:w="357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100</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100</w:t>
            </w:r>
          </w:p>
        </w:tc>
      </w:tr>
      <w:tr>
        <w:tblPrEx>
          <w:tblLayout w:type="fixed"/>
          <w:tblCellMar>
            <w:top w:w="15" w:type="dxa"/>
            <w:left w:w="15" w:type="dxa"/>
            <w:bottom w:w="15" w:type="dxa"/>
            <w:right w:w="15" w:type="dxa"/>
          </w:tblCellMar>
        </w:tblPrEx>
        <w:trPr>
          <w:trHeight w:val="300" w:hRule="atLeast"/>
        </w:trPr>
        <w:tc>
          <w:tcPr>
            <w:tcW w:w="925"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20131</w:t>
            </w:r>
          </w:p>
        </w:tc>
        <w:tc>
          <w:tcPr>
            <w:tcW w:w="2319" w:type="dxa"/>
            <w:gridSpan w:val="4"/>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党委办公厅（室）及相关机构事务</w:t>
            </w:r>
          </w:p>
        </w:tc>
        <w:tc>
          <w:tcPr>
            <w:tcW w:w="357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244.46</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244.46</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25"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2013101</w:t>
            </w:r>
          </w:p>
        </w:tc>
        <w:tc>
          <w:tcPr>
            <w:tcW w:w="2319" w:type="dxa"/>
            <w:gridSpan w:val="4"/>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行政运行</w:t>
            </w:r>
          </w:p>
        </w:tc>
        <w:tc>
          <w:tcPr>
            <w:tcW w:w="357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244.46</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244.46</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25"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20136</w:t>
            </w:r>
          </w:p>
        </w:tc>
        <w:tc>
          <w:tcPr>
            <w:tcW w:w="2319" w:type="dxa"/>
            <w:gridSpan w:val="4"/>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其他共产党事务支出</w:t>
            </w:r>
          </w:p>
        </w:tc>
        <w:tc>
          <w:tcPr>
            <w:tcW w:w="357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18</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18</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25"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2013699</w:t>
            </w:r>
          </w:p>
        </w:tc>
        <w:tc>
          <w:tcPr>
            <w:tcW w:w="2319" w:type="dxa"/>
            <w:gridSpan w:val="4"/>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其他共产党事务支出</w:t>
            </w:r>
          </w:p>
        </w:tc>
        <w:tc>
          <w:tcPr>
            <w:tcW w:w="357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18</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18</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25"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208</w:t>
            </w:r>
          </w:p>
        </w:tc>
        <w:tc>
          <w:tcPr>
            <w:tcW w:w="2319" w:type="dxa"/>
            <w:gridSpan w:val="4"/>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社会保障和就业支出</w:t>
            </w:r>
          </w:p>
        </w:tc>
        <w:tc>
          <w:tcPr>
            <w:tcW w:w="357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14.60</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14.60</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25"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20805</w:t>
            </w:r>
          </w:p>
        </w:tc>
        <w:tc>
          <w:tcPr>
            <w:tcW w:w="2319" w:type="dxa"/>
            <w:gridSpan w:val="4"/>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行政事业单位离退休</w:t>
            </w:r>
          </w:p>
        </w:tc>
        <w:tc>
          <w:tcPr>
            <w:tcW w:w="357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14.07</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14.07</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25"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2080505</w:t>
            </w:r>
          </w:p>
        </w:tc>
        <w:tc>
          <w:tcPr>
            <w:tcW w:w="2319" w:type="dxa"/>
            <w:gridSpan w:val="4"/>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机关事业单位基本养老保险缴费支出</w:t>
            </w:r>
          </w:p>
        </w:tc>
        <w:tc>
          <w:tcPr>
            <w:tcW w:w="357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14.07</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14.07</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25"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20899</w:t>
            </w:r>
          </w:p>
        </w:tc>
        <w:tc>
          <w:tcPr>
            <w:tcW w:w="2319" w:type="dxa"/>
            <w:gridSpan w:val="4"/>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其他社会保障和就业支出</w:t>
            </w:r>
          </w:p>
        </w:tc>
        <w:tc>
          <w:tcPr>
            <w:tcW w:w="357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0.53</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0.53</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25"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2089901</w:t>
            </w:r>
          </w:p>
        </w:tc>
        <w:tc>
          <w:tcPr>
            <w:tcW w:w="2319" w:type="dxa"/>
            <w:gridSpan w:val="4"/>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其他社会保障和就业支出</w:t>
            </w:r>
          </w:p>
        </w:tc>
        <w:tc>
          <w:tcPr>
            <w:tcW w:w="357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0.53</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0.53</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25"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210</w:t>
            </w:r>
          </w:p>
        </w:tc>
        <w:tc>
          <w:tcPr>
            <w:tcW w:w="2319" w:type="dxa"/>
            <w:gridSpan w:val="4"/>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医疗卫生与计划生育支出</w:t>
            </w:r>
          </w:p>
        </w:tc>
        <w:tc>
          <w:tcPr>
            <w:tcW w:w="357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4.34</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4.34</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25"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21011</w:t>
            </w:r>
          </w:p>
        </w:tc>
        <w:tc>
          <w:tcPr>
            <w:tcW w:w="2319" w:type="dxa"/>
            <w:gridSpan w:val="4"/>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行政事业单位医疗</w:t>
            </w:r>
          </w:p>
        </w:tc>
        <w:tc>
          <w:tcPr>
            <w:tcW w:w="357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4.34</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4.34</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25"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2101101</w:t>
            </w:r>
          </w:p>
        </w:tc>
        <w:tc>
          <w:tcPr>
            <w:tcW w:w="2319" w:type="dxa"/>
            <w:gridSpan w:val="4"/>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行政单位医疗</w:t>
            </w:r>
          </w:p>
        </w:tc>
        <w:tc>
          <w:tcPr>
            <w:tcW w:w="357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4.34</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4.34</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25"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213</w:t>
            </w:r>
          </w:p>
        </w:tc>
        <w:tc>
          <w:tcPr>
            <w:tcW w:w="2319" w:type="dxa"/>
            <w:gridSpan w:val="4"/>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农林水支出</w:t>
            </w:r>
          </w:p>
        </w:tc>
        <w:tc>
          <w:tcPr>
            <w:tcW w:w="357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0.47</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0.47</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25"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21305</w:t>
            </w:r>
          </w:p>
        </w:tc>
        <w:tc>
          <w:tcPr>
            <w:tcW w:w="2319" w:type="dxa"/>
            <w:gridSpan w:val="4"/>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扶贫</w:t>
            </w:r>
          </w:p>
        </w:tc>
        <w:tc>
          <w:tcPr>
            <w:tcW w:w="357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0.47</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0.47</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925"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2130599</w:t>
            </w:r>
          </w:p>
        </w:tc>
        <w:tc>
          <w:tcPr>
            <w:tcW w:w="2319" w:type="dxa"/>
            <w:gridSpan w:val="4"/>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其他扶贫支出</w:t>
            </w:r>
          </w:p>
        </w:tc>
        <w:tc>
          <w:tcPr>
            <w:tcW w:w="3579"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0.47</w:t>
            </w:r>
          </w:p>
        </w:tc>
        <w:tc>
          <w:tcPr>
            <w:tcW w:w="3579"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0.47</w:t>
            </w:r>
          </w:p>
        </w:tc>
        <w:tc>
          <w:tcPr>
            <w:tcW w:w="3580"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13982" w:type="dxa"/>
            <w:gridSpan w:val="11"/>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注：本表反映部门本年度一般公共预算财政拨款支出情况。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13982" w:type="dxa"/>
        <w:tblInd w:w="0" w:type="dxa"/>
        <w:tblLayout w:type="fixed"/>
        <w:tblCellMar>
          <w:top w:w="15" w:type="dxa"/>
          <w:left w:w="15" w:type="dxa"/>
          <w:bottom w:w="15" w:type="dxa"/>
          <w:right w:w="15" w:type="dxa"/>
        </w:tblCellMar>
      </w:tblPr>
      <w:tblGrid>
        <w:gridCol w:w="601"/>
        <w:gridCol w:w="2393"/>
        <w:gridCol w:w="1564"/>
        <w:gridCol w:w="601"/>
        <w:gridCol w:w="2657"/>
        <w:gridCol w:w="1301"/>
        <w:gridCol w:w="601"/>
        <w:gridCol w:w="2657"/>
        <w:gridCol w:w="1607"/>
      </w:tblGrid>
      <w:tr>
        <w:tblPrEx>
          <w:tblLayout w:type="fixed"/>
          <w:tblCellMar>
            <w:top w:w="15" w:type="dxa"/>
            <w:left w:w="15" w:type="dxa"/>
            <w:bottom w:w="15" w:type="dxa"/>
            <w:right w:w="15" w:type="dxa"/>
          </w:tblCellMar>
        </w:tblPrEx>
        <w:trPr>
          <w:trHeight w:val="375" w:hRule="atLeast"/>
        </w:trPr>
        <w:tc>
          <w:tcPr>
            <w:tcW w:w="13982" w:type="dxa"/>
            <w:gridSpan w:val="9"/>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一般公共预算财政拨款基本支出决算表</w:t>
            </w:r>
          </w:p>
        </w:tc>
      </w:tr>
      <w:tr>
        <w:tblPrEx>
          <w:tblLayout w:type="fixed"/>
          <w:tblCellMar>
            <w:top w:w="15" w:type="dxa"/>
            <w:left w:w="15" w:type="dxa"/>
            <w:bottom w:w="15" w:type="dxa"/>
            <w:right w:w="15" w:type="dxa"/>
          </w:tblCellMar>
        </w:tblPrEx>
        <w:trPr>
          <w:trHeight w:val="300" w:hRule="atLeast"/>
        </w:trPr>
        <w:tc>
          <w:tcPr>
            <w:tcW w:w="601" w:type="dxa"/>
            <w:vAlign w:val="center"/>
          </w:tcPr>
          <w:p>
            <w:pPr>
              <w:jc w:val="left"/>
              <w:rPr>
                <w:rFonts w:ascii="宋体" w:hAnsi="宋体" w:cs="宋体"/>
                <w:color w:val="000000"/>
                <w:sz w:val="18"/>
                <w:szCs w:val="18"/>
              </w:rPr>
            </w:pPr>
          </w:p>
        </w:tc>
        <w:tc>
          <w:tcPr>
            <w:tcW w:w="2393" w:type="dxa"/>
            <w:vAlign w:val="center"/>
          </w:tcPr>
          <w:p>
            <w:pPr>
              <w:jc w:val="left"/>
              <w:rPr>
                <w:rFonts w:ascii="宋体" w:hAnsi="宋体" w:cs="宋体"/>
                <w:color w:val="000000"/>
                <w:sz w:val="18"/>
                <w:szCs w:val="18"/>
              </w:rPr>
            </w:pPr>
          </w:p>
        </w:tc>
        <w:tc>
          <w:tcPr>
            <w:tcW w:w="1564" w:type="dxa"/>
            <w:vAlign w:val="center"/>
          </w:tcPr>
          <w:p>
            <w:pPr>
              <w:jc w:val="left"/>
              <w:rPr>
                <w:rFonts w:ascii="宋体" w:hAnsi="宋体" w:cs="宋体"/>
                <w:color w:val="000000"/>
                <w:sz w:val="18"/>
                <w:szCs w:val="18"/>
              </w:rPr>
            </w:pPr>
          </w:p>
        </w:tc>
        <w:tc>
          <w:tcPr>
            <w:tcW w:w="601" w:type="dxa"/>
            <w:vAlign w:val="center"/>
          </w:tcPr>
          <w:p>
            <w:pPr>
              <w:jc w:val="left"/>
              <w:rPr>
                <w:rFonts w:ascii="宋体" w:hAnsi="宋体" w:cs="宋体"/>
                <w:color w:val="000000"/>
                <w:sz w:val="18"/>
                <w:szCs w:val="18"/>
              </w:rPr>
            </w:pPr>
          </w:p>
        </w:tc>
        <w:tc>
          <w:tcPr>
            <w:tcW w:w="2657" w:type="dxa"/>
            <w:vAlign w:val="center"/>
          </w:tcPr>
          <w:p>
            <w:pPr>
              <w:jc w:val="left"/>
              <w:rPr>
                <w:rFonts w:ascii="宋体" w:hAnsi="宋体" w:cs="宋体"/>
                <w:color w:val="000000"/>
                <w:sz w:val="18"/>
                <w:szCs w:val="18"/>
              </w:rPr>
            </w:pPr>
          </w:p>
        </w:tc>
        <w:tc>
          <w:tcPr>
            <w:tcW w:w="1301" w:type="dxa"/>
            <w:vAlign w:val="center"/>
          </w:tcPr>
          <w:p>
            <w:pPr>
              <w:jc w:val="left"/>
              <w:rPr>
                <w:rFonts w:ascii="宋体" w:hAnsi="宋体" w:cs="宋体"/>
                <w:color w:val="000000"/>
                <w:sz w:val="18"/>
                <w:szCs w:val="18"/>
              </w:rPr>
            </w:pPr>
          </w:p>
        </w:tc>
        <w:tc>
          <w:tcPr>
            <w:tcW w:w="601" w:type="dxa"/>
            <w:vAlign w:val="center"/>
          </w:tcPr>
          <w:p>
            <w:pPr>
              <w:jc w:val="left"/>
              <w:rPr>
                <w:rFonts w:ascii="宋体" w:hAnsi="宋体" w:cs="宋体"/>
                <w:color w:val="000000"/>
                <w:sz w:val="18"/>
                <w:szCs w:val="18"/>
              </w:rPr>
            </w:pPr>
          </w:p>
        </w:tc>
        <w:tc>
          <w:tcPr>
            <w:tcW w:w="2657" w:type="dxa"/>
            <w:vAlign w:val="center"/>
          </w:tcPr>
          <w:p>
            <w:pPr>
              <w:jc w:val="left"/>
              <w:rPr>
                <w:rFonts w:ascii="宋体" w:hAnsi="宋体" w:cs="宋体"/>
                <w:color w:val="000000"/>
                <w:sz w:val="18"/>
                <w:szCs w:val="18"/>
              </w:rPr>
            </w:pPr>
          </w:p>
        </w:tc>
        <w:tc>
          <w:tcPr>
            <w:tcW w:w="1607" w:type="dxa"/>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公开06表</w:t>
            </w:r>
          </w:p>
        </w:tc>
      </w:tr>
      <w:tr>
        <w:tblPrEx>
          <w:tblLayout w:type="fixed"/>
          <w:tblCellMar>
            <w:top w:w="15" w:type="dxa"/>
            <w:left w:w="15" w:type="dxa"/>
            <w:bottom w:w="15" w:type="dxa"/>
            <w:right w:w="15" w:type="dxa"/>
          </w:tblCellMar>
        </w:tblPrEx>
        <w:trPr>
          <w:trHeight w:val="300" w:hRule="atLeast"/>
        </w:trPr>
        <w:tc>
          <w:tcPr>
            <w:tcW w:w="5159" w:type="dxa"/>
            <w:gridSpan w:val="4"/>
            <w:tcBorders>
              <w:bottom w:val="single" w:color="auto" w:sz="4" w:space="0"/>
            </w:tcBorders>
            <w:vAlign w:val="center"/>
          </w:tcPr>
          <w:p>
            <w:pPr>
              <w:jc w:val="left"/>
              <w:rPr>
                <w:rFonts w:ascii="宋体" w:hAnsi="宋体" w:cs="宋体"/>
                <w:color w:val="000000"/>
                <w:sz w:val="18"/>
                <w:szCs w:val="18"/>
              </w:rPr>
            </w:pPr>
            <w:r>
              <w:rPr>
                <w:rFonts w:hint="eastAsia" w:ascii="宋体" w:hAnsi="宋体" w:cs="宋体"/>
                <w:color w:val="000000"/>
                <w:kern w:val="0"/>
                <w:sz w:val="22"/>
              </w:rPr>
              <w:t>部门：中共封丘县委群众工作部</w:t>
            </w:r>
          </w:p>
        </w:tc>
        <w:tc>
          <w:tcPr>
            <w:tcW w:w="2657" w:type="dxa"/>
            <w:tcBorders>
              <w:bottom w:val="single" w:color="auto" w:sz="4" w:space="0"/>
            </w:tcBorders>
            <w:vAlign w:val="center"/>
          </w:tcPr>
          <w:p>
            <w:pPr>
              <w:jc w:val="center"/>
              <w:rPr>
                <w:rFonts w:ascii="宋体" w:hAnsi="宋体" w:cs="宋体"/>
                <w:color w:val="000000"/>
                <w:sz w:val="22"/>
              </w:rPr>
            </w:pPr>
          </w:p>
        </w:tc>
        <w:tc>
          <w:tcPr>
            <w:tcW w:w="1301" w:type="dxa"/>
            <w:tcBorders>
              <w:bottom w:val="single" w:color="auto" w:sz="4" w:space="0"/>
            </w:tcBorders>
            <w:vAlign w:val="center"/>
          </w:tcPr>
          <w:p>
            <w:pPr>
              <w:jc w:val="left"/>
              <w:rPr>
                <w:rFonts w:ascii="宋体" w:hAnsi="宋体" w:cs="宋体"/>
                <w:color w:val="000000"/>
                <w:sz w:val="18"/>
                <w:szCs w:val="18"/>
              </w:rPr>
            </w:pPr>
          </w:p>
        </w:tc>
        <w:tc>
          <w:tcPr>
            <w:tcW w:w="601" w:type="dxa"/>
            <w:tcBorders>
              <w:bottom w:val="single" w:color="auto" w:sz="4" w:space="0"/>
            </w:tcBorders>
            <w:vAlign w:val="center"/>
          </w:tcPr>
          <w:p>
            <w:pPr>
              <w:jc w:val="left"/>
              <w:rPr>
                <w:rFonts w:ascii="宋体" w:hAnsi="宋体" w:cs="宋体"/>
                <w:color w:val="000000"/>
                <w:sz w:val="18"/>
                <w:szCs w:val="18"/>
              </w:rPr>
            </w:pPr>
          </w:p>
        </w:tc>
        <w:tc>
          <w:tcPr>
            <w:tcW w:w="2657" w:type="dxa"/>
            <w:tcBorders>
              <w:bottom w:val="single" w:color="auto" w:sz="4" w:space="0"/>
            </w:tcBorders>
            <w:vAlign w:val="center"/>
          </w:tcPr>
          <w:p>
            <w:pPr>
              <w:jc w:val="left"/>
              <w:rPr>
                <w:rFonts w:ascii="宋体" w:hAnsi="宋体" w:cs="宋体"/>
                <w:color w:val="000000"/>
                <w:sz w:val="18"/>
                <w:szCs w:val="18"/>
              </w:rPr>
            </w:pPr>
          </w:p>
        </w:tc>
        <w:tc>
          <w:tcPr>
            <w:tcW w:w="1607" w:type="dxa"/>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Layout w:type="fixed"/>
          <w:tblCellMar>
            <w:top w:w="15" w:type="dxa"/>
            <w:left w:w="15" w:type="dxa"/>
            <w:bottom w:w="15" w:type="dxa"/>
            <w:right w:w="15" w:type="dxa"/>
          </w:tblCellMar>
        </w:tblPrEx>
        <w:trPr>
          <w:trHeight w:val="300" w:hRule="atLeast"/>
        </w:trPr>
        <w:tc>
          <w:tcPr>
            <w:tcW w:w="4558"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人员经费</w:t>
            </w:r>
          </w:p>
        </w:tc>
        <w:tc>
          <w:tcPr>
            <w:tcW w:w="9424"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公用经费</w:t>
            </w:r>
          </w:p>
        </w:tc>
      </w:tr>
      <w:tr>
        <w:tblPrEx>
          <w:tblLayout w:type="fixed"/>
          <w:tblCellMar>
            <w:top w:w="15" w:type="dxa"/>
            <w:left w:w="15" w:type="dxa"/>
            <w:bottom w:w="15" w:type="dxa"/>
            <w:right w:w="15" w:type="dxa"/>
          </w:tblCellMar>
        </w:tblPrEx>
        <w:trPr>
          <w:trHeight w:val="312" w:hRule="atLeast"/>
        </w:trPr>
        <w:tc>
          <w:tcPr>
            <w:tcW w:w="6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2393"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564"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6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2657"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3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6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2657"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607"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r>
      <w:tr>
        <w:tblPrEx>
          <w:tblLayout w:type="fixed"/>
          <w:tblCellMar>
            <w:top w:w="15" w:type="dxa"/>
            <w:left w:w="15" w:type="dxa"/>
            <w:bottom w:w="15" w:type="dxa"/>
            <w:right w:w="15" w:type="dxa"/>
          </w:tblCellMar>
        </w:tblPrEx>
        <w:trPr>
          <w:trHeight w:val="600" w:hRule="atLeast"/>
        </w:trPr>
        <w:tc>
          <w:tcPr>
            <w:tcW w:w="6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393"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4"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601"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657"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301"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601"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657"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07"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601"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w:t>
            </w:r>
          </w:p>
        </w:tc>
        <w:tc>
          <w:tcPr>
            <w:tcW w:w="2393"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工资福利支出</w:t>
            </w:r>
          </w:p>
        </w:tc>
        <w:tc>
          <w:tcPr>
            <w:tcW w:w="1564" w:type="dxa"/>
            <w:tcBorders>
              <w:top w:val="single" w:color="auto"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131.10</w:t>
            </w:r>
          </w:p>
        </w:tc>
        <w:tc>
          <w:tcPr>
            <w:tcW w:w="601"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w:t>
            </w:r>
          </w:p>
        </w:tc>
        <w:tc>
          <w:tcPr>
            <w:tcW w:w="2657"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商品和服务支出</w:t>
            </w:r>
          </w:p>
        </w:tc>
        <w:tc>
          <w:tcPr>
            <w:tcW w:w="1301" w:type="dxa"/>
            <w:tcBorders>
              <w:top w:val="single" w:color="auto"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20.33</w:t>
            </w:r>
          </w:p>
        </w:tc>
        <w:tc>
          <w:tcPr>
            <w:tcW w:w="601"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310</w:t>
            </w:r>
          </w:p>
        </w:tc>
        <w:tc>
          <w:tcPr>
            <w:tcW w:w="2657"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其他资本性支出</w:t>
            </w:r>
          </w:p>
        </w:tc>
        <w:tc>
          <w:tcPr>
            <w:tcW w:w="1607" w:type="dxa"/>
            <w:tcBorders>
              <w:top w:val="single" w:color="auto"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2.43</w:t>
            </w:r>
          </w:p>
        </w:tc>
      </w:tr>
      <w:tr>
        <w:tblPrEx>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30101</w:t>
            </w:r>
          </w:p>
        </w:tc>
        <w:tc>
          <w:tcPr>
            <w:tcW w:w="239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基本工资</w:t>
            </w:r>
          </w:p>
        </w:tc>
        <w:tc>
          <w:tcPr>
            <w:tcW w:w="1564"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56.53</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30201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办公费</w:t>
            </w:r>
          </w:p>
        </w:tc>
        <w:tc>
          <w:tcPr>
            <w:tcW w:w="130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1.46</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31001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房屋建筑物购建</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30102</w:t>
            </w:r>
          </w:p>
        </w:tc>
        <w:tc>
          <w:tcPr>
            <w:tcW w:w="239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津贴补贴</w:t>
            </w:r>
          </w:p>
        </w:tc>
        <w:tc>
          <w:tcPr>
            <w:tcW w:w="1564"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26.40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30202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印刷费</w:t>
            </w:r>
          </w:p>
        </w:tc>
        <w:tc>
          <w:tcPr>
            <w:tcW w:w="130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31002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办公设备购置</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2.43</w:t>
            </w:r>
          </w:p>
        </w:tc>
      </w:tr>
      <w:tr>
        <w:tblPrEx>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30103</w:t>
            </w:r>
          </w:p>
        </w:tc>
        <w:tc>
          <w:tcPr>
            <w:tcW w:w="239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奖金</w:t>
            </w:r>
          </w:p>
        </w:tc>
        <w:tc>
          <w:tcPr>
            <w:tcW w:w="1564"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13.53</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30203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咨询费</w:t>
            </w:r>
          </w:p>
        </w:tc>
        <w:tc>
          <w:tcPr>
            <w:tcW w:w="130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31003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专用设备购置</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30104</w:t>
            </w:r>
          </w:p>
        </w:tc>
        <w:tc>
          <w:tcPr>
            <w:tcW w:w="239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其他社会保障缴费</w:t>
            </w:r>
          </w:p>
        </w:tc>
        <w:tc>
          <w:tcPr>
            <w:tcW w:w="1564"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4.87</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30204</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手续费</w:t>
            </w:r>
          </w:p>
        </w:tc>
        <w:tc>
          <w:tcPr>
            <w:tcW w:w="130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31005</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基础设施建设</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30106</w:t>
            </w:r>
          </w:p>
        </w:tc>
        <w:tc>
          <w:tcPr>
            <w:tcW w:w="239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伙食补助费</w:t>
            </w:r>
          </w:p>
        </w:tc>
        <w:tc>
          <w:tcPr>
            <w:tcW w:w="1564"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3.61</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30205</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水费</w:t>
            </w:r>
          </w:p>
        </w:tc>
        <w:tc>
          <w:tcPr>
            <w:tcW w:w="130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31006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大型修缮</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30107</w:t>
            </w:r>
          </w:p>
        </w:tc>
        <w:tc>
          <w:tcPr>
            <w:tcW w:w="239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绩效工资</w:t>
            </w:r>
          </w:p>
        </w:tc>
        <w:tc>
          <w:tcPr>
            <w:tcW w:w="1564"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1.10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30206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电费</w:t>
            </w:r>
          </w:p>
        </w:tc>
        <w:tc>
          <w:tcPr>
            <w:tcW w:w="130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0.30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31007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信息网络及软件购置更新</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30108</w:t>
            </w:r>
          </w:p>
        </w:tc>
        <w:tc>
          <w:tcPr>
            <w:tcW w:w="239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机关事业单位基本养老保险缴费</w:t>
            </w:r>
          </w:p>
        </w:tc>
        <w:tc>
          <w:tcPr>
            <w:tcW w:w="1564"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14.07</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30207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邮电费</w:t>
            </w:r>
          </w:p>
        </w:tc>
        <w:tc>
          <w:tcPr>
            <w:tcW w:w="130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1.35</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31008</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物资储备</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30109</w:t>
            </w:r>
          </w:p>
        </w:tc>
        <w:tc>
          <w:tcPr>
            <w:tcW w:w="239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职业年金缴费</w:t>
            </w:r>
          </w:p>
        </w:tc>
        <w:tc>
          <w:tcPr>
            <w:tcW w:w="1564"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30208</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取暖费</w:t>
            </w:r>
          </w:p>
        </w:tc>
        <w:tc>
          <w:tcPr>
            <w:tcW w:w="130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31009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土地补偿</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30199</w:t>
            </w:r>
          </w:p>
        </w:tc>
        <w:tc>
          <w:tcPr>
            <w:tcW w:w="239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其他工资福利支出</w:t>
            </w:r>
          </w:p>
        </w:tc>
        <w:tc>
          <w:tcPr>
            <w:tcW w:w="1564"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10.98</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30209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物业管理费</w:t>
            </w:r>
          </w:p>
        </w:tc>
        <w:tc>
          <w:tcPr>
            <w:tcW w:w="130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31010</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安置补助</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w:t>
            </w:r>
          </w:p>
        </w:tc>
        <w:tc>
          <w:tcPr>
            <w:tcW w:w="239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对个人和家庭的补助</w:t>
            </w:r>
          </w:p>
        </w:tc>
        <w:tc>
          <w:tcPr>
            <w:tcW w:w="1564"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128.02</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30211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差旅费</w:t>
            </w:r>
          </w:p>
        </w:tc>
        <w:tc>
          <w:tcPr>
            <w:tcW w:w="130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3.20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31011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地上附着物和青苗补偿</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30301</w:t>
            </w:r>
          </w:p>
        </w:tc>
        <w:tc>
          <w:tcPr>
            <w:tcW w:w="239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离休费</w:t>
            </w:r>
          </w:p>
        </w:tc>
        <w:tc>
          <w:tcPr>
            <w:tcW w:w="1564"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30212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因公出国（境）费用</w:t>
            </w:r>
          </w:p>
        </w:tc>
        <w:tc>
          <w:tcPr>
            <w:tcW w:w="130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31012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拆迁补偿</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30302</w:t>
            </w:r>
          </w:p>
        </w:tc>
        <w:tc>
          <w:tcPr>
            <w:tcW w:w="239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退休费</w:t>
            </w:r>
          </w:p>
        </w:tc>
        <w:tc>
          <w:tcPr>
            <w:tcW w:w="1564"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30213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维修(护)费</w:t>
            </w:r>
          </w:p>
        </w:tc>
        <w:tc>
          <w:tcPr>
            <w:tcW w:w="130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0.32</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31013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公务用车购置</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30303</w:t>
            </w:r>
          </w:p>
        </w:tc>
        <w:tc>
          <w:tcPr>
            <w:tcW w:w="239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退职（役）费</w:t>
            </w:r>
          </w:p>
        </w:tc>
        <w:tc>
          <w:tcPr>
            <w:tcW w:w="1564"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30214</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租赁费</w:t>
            </w:r>
          </w:p>
        </w:tc>
        <w:tc>
          <w:tcPr>
            <w:tcW w:w="130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31019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其他交通工具购置</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30304</w:t>
            </w:r>
          </w:p>
        </w:tc>
        <w:tc>
          <w:tcPr>
            <w:tcW w:w="239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抚恤金</w:t>
            </w:r>
          </w:p>
        </w:tc>
        <w:tc>
          <w:tcPr>
            <w:tcW w:w="1564"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30215</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会议费</w:t>
            </w:r>
          </w:p>
        </w:tc>
        <w:tc>
          <w:tcPr>
            <w:tcW w:w="130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31020</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产权参股</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30305</w:t>
            </w:r>
          </w:p>
        </w:tc>
        <w:tc>
          <w:tcPr>
            <w:tcW w:w="239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生活补助</w:t>
            </w:r>
          </w:p>
        </w:tc>
        <w:tc>
          <w:tcPr>
            <w:tcW w:w="1564"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30216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培训费</w:t>
            </w:r>
          </w:p>
        </w:tc>
        <w:tc>
          <w:tcPr>
            <w:tcW w:w="130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31099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其他资本性支出</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30306</w:t>
            </w:r>
          </w:p>
        </w:tc>
        <w:tc>
          <w:tcPr>
            <w:tcW w:w="239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救济费</w:t>
            </w:r>
          </w:p>
        </w:tc>
        <w:tc>
          <w:tcPr>
            <w:tcW w:w="1564"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128.02</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30217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公务接待费</w:t>
            </w:r>
          </w:p>
        </w:tc>
        <w:tc>
          <w:tcPr>
            <w:tcW w:w="130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0.11</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304</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对企事业单位的补贴</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3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30307</w:t>
            </w:r>
          </w:p>
        </w:tc>
        <w:tc>
          <w:tcPr>
            <w:tcW w:w="239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w:t>
            </w:r>
          </w:p>
        </w:tc>
        <w:tc>
          <w:tcPr>
            <w:tcW w:w="1564"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30218</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专用材料费</w:t>
            </w:r>
          </w:p>
        </w:tc>
        <w:tc>
          <w:tcPr>
            <w:tcW w:w="130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30401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企业政策性补贴</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30308</w:t>
            </w:r>
          </w:p>
        </w:tc>
        <w:tc>
          <w:tcPr>
            <w:tcW w:w="239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助学金</w:t>
            </w:r>
          </w:p>
        </w:tc>
        <w:tc>
          <w:tcPr>
            <w:tcW w:w="1564"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30224</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被装购置费</w:t>
            </w:r>
          </w:p>
        </w:tc>
        <w:tc>
          <w:tcPr>
            <w:tcW w:w="130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30402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事业单位补贴</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30309</w:t>
            </w:r>
          </w:p>
        </w:tc>
        <w:tc>
          <w:tcPr>
            <w:tcW w:w="239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奖励金</w:t>
            </w:r>
          </w:p>
        </w:tc>
        <w:tc>
          <w:tcPr>
            <w:tcW w:w="1564"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30225</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专用燃料费</w:t>
            </w:r>
          </w:p>
        </w:tc>
        <w:tc>
          <w:tcPr>
            <w:tcW w:w="130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30403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财政贴息</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30310</w:t>
            </w:r>
          </w:p>
        </w:tc>
        <w:tc>
          <w:tcPr>
            <w:tcW w:w="239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生产补贴</w:t>
            </w:r>
          </w:p>
        </w:tc>
        <w:tc>
          <w:tcPr>
            <w:tcW w:w="1564"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30226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劳务费</w:t>
            </w:r>
          </w:p>
        </w:tc>
        <w:tc>
          <w:tcPr>
            <w:tcW w:w="130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8.71</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30499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其他对企事业单位的补贴</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30311</w:t>
            </w:r>
          </w:p>
        </w:tc>
        <w:tc>
          <w:tcPr>
            <w:tcW w:w="239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住房公积金</w:t>
            </w:r>
          </w:p>
        </w:tc>
        <w:tc>
          <w:tcPr>
            <w:tcW w:w="1564"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30227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委托业务费</w:t>
            </w:r>
          </w:p>
        </w:tc>
        <w:tc>
          <w:tcPr>
            <w:tcW w:w="130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债务利息支出</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30312</w:t>
            </w:r>
          </w:p>
        </w:tc>
        <w:tc>
          <w:tcPr>
            <w:tcW w:w="239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提租补贴</w:t>
            </w:r>
          </w:p>
        </w:tc>
        <w:tc>
          <w:tcPr>
            <w:tcW w:w="1564"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30228</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工会经费</w:t>
            </w:r>
          </w:p>
        </w:tc>
        <w:tc>
          <w:tcPr>
            <w:tcW w:w="130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30701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国内债务付息</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30313</w:t>
            </w:r>
          </w:p>
        </w:tc>
        <w:tc>
          <w:tcPr>
            <w:tcW w:w="239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购房补贴</w:t>
            </w:r>
          </w:p>
        </w:tc>
        <w:tc>
          <w:tcPr>
            <w:tcW w:w="1564"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30229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福利费</w:t>
            </w:r>
          </w:p>
        </w:tc>
        <w:tc>
          <w:tcPr>
            <w:tcW w:w="130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30707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国外债务付息</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30314</w:t>
            </w:r>
          </w:p>
        </w:tc>
        <w:tc>
          <w:tcPr>
            <w:tcW w:w="239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采暖补贴</w:t>
            </w:r>
          </w:p>
        </w:tc>
        <w:tc>
          <w:tcPr>
            <w:tcW w:w="1564"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30231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公务用车运行维护费</w:t>
            </w:r>
          </w:p>
        </w:tc>
        <w:tc>
          <w:tcPr>
            <w:tcW w:w="130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0.64</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399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其他支出</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30315</w:t>
            </w:r>
          </w:p>
        </w:tc>
        <w:tc>
          <w:tcPr>
            <w:tcW w:w="239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物业服务补贴</w:t>
            </w:r>
          </w:p>
        </w:tc>
        <w:tc>
          <w:tcPr>
            <w:tcW w:w="1564"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30239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其他交通费用</w:t>
            </w:r>
          </w:p>
        </w:tc>
        <w:tc>
          <w:tcPr>
            <w:tcW w:w="130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0.13</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39906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赠与</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r>
      <w:tr>
        <w:tblPrEx>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30399</w:t>
            </w:r>
          </w:p>
        </w:tc>
        <w:tc>
          <w:tcPr>
            <w:tcW w:w="239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其他对个人和家庭的补助支出</w:t>
            </w:r>
          </w:p>
        </w:tc>
        <w:tc>
          <w:tcPr>
            <w:tcW w:w="1564"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30240</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税金及附加费用</w:t>
            </w:r>
          </w:p>
        </w:tc>
        <w:tc>
          <w:tcPr>
            <w:tcW w:w="130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6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657"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07" w:type="dxa"/>
            <w:tcBorders>
              <w:bottom w:val="single" w:color="000000" w:sz="4" w:space="0"/>
              <w:right w:val="single" w:color="000000" w:sz="4" w:space="0"/>
            </w:tcBorders>
            <w:vAlign w:val="center"/>
          </w:tcPr>
          <w:p>
            <w:pPr>
              <w:jc w:val="righ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2393"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564"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30299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rPr>
              <w:t xml:space="preserve">  其他商品和服务支出</w:t>
            </w:r>
          </w:p>
        </w:tc>
        <w:tc>
          <w:tcPr>
            <w:tcW w:w="130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4.09</w:t>
            </w:r>
          </w:p>
        </w:tc>
        <w:tc>
          <w:tcPr>
            <w:tcW w:w="6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657"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07" w:type="dxa"/>
            <w:tcBorders>
              <w:bottom w:val="single" w:color="000000" w:sz="4" w:space="0"/>
              <w:right w:val="single" w:color="000000" w:sz="4" w:space="0"/>
            </w:tcBorders>
            <w:vAlign w:val="center"/>
          </w:tcPr>
          <w:p>
            <w:pPr>
              <w:jc w:val="righ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2994"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人员经费合计</w:t>
            </w:r>
          </w:p>
        </w:tc>
        <w:tc>
          <w:tcPr>
            <w:tcW w:w="1564"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259.12</w:t>
            </w:r>
          </w:p>
        </w:tc>
        <w:tc>
          <w:tcPr>
            <w:tcW w:w="7817" w:type="dxa"/>
            <w:gridSpan w:val="5"/>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2"/>
              </w:rPr>
              <w:t>公用经费合计</w:t>
            </w:r>
          </w:p>
        </w:tc>
        <w:tc>
          <w:tcPr>
            <w:tcW w:w="1607"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22.75</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13807" w:type="dxa"/>
        <w:tblInd w:w="0" w:type="dxa"/>
        <w:tblLayout w:type="fixed"/>
        <w:tblCellMar>
          <w:top w:w="15" w:type="dxa"/>
          <w:left w:w="15" w:type="dxa"/>
          <w:bottom w:w="15" w:type="dxa"/>
          <w:right w:w="15" w:type="dxa"/>
        </w:tblCellMar>
      </w:tblPr>
      <w:tblGrid>
        <w:gridCol w:w="1506"/>
        <w:gridCol w:w="1061"/>
        <w:gridCol w:w="10"/>
        <w:gridCol w:w="1025"/>
        <w:gridCol w:w="1025"/>
        <w:gridCol w:w="1025"/>
        <w:gridCol w:w="1478"/>
        <w:gridCol w:w="1025"/>
        <w:gridCol w:w="1071"/>
        <w:gridCol w:w="1025"/>
        <w:gridCol w:w="1025"/>
        <w:gridCol w:w="1025"/>
        <w:gridCol w:w="1506"/>
      </w:tblGrid>
      <w:tr>
        <w:tblPrEx>
          <w:tblLayout w:type="fixed"/>
          <w:tblCellMar>
            <w:top w:w="15" w:type="dxa"/>
            <w:left w:w="15" w:type="dxa"/>
            <w:bottom w:w="15" w:type="dxa"/>
            <w:right w:w="15" w:type="dxa"/>
          </w:tblCellMar>
        </w:tblPrEx>
        <w:trPr>
          <w:trHeight w:val="555" w:hRule="atLeast"/>
        </w:trPr>
        <w:tc>
          <w:tcPr>
            <w:tcW w:w="13807" w:type="dxa"/>
            <w:gridSpan w:val="13"/>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一般公共预算财政拨款“三公”经费支出决算表</w:t>
            </w:r>
          </w:p>
        </w:tc>
      </w:tr>
      <w:tr>
        <w:tblPrEx>
          <w:tblLayout w:type="fixed"/>
          <w:tblCellMar>
            <w:top w:w="15" w:type="dxa"/>
            <w:left w:w="15" w:type="dxa"/>
            <w:bottom w:w="15" w:type="dxa"/>
            <w:right w:w="15" w:type="dxa"/>
          </w:tblCellMar>
        </w:tblPrEx>
        <w:trPr>
          <w:trHeight w:val="300" w:hRule="atLeast"/>
        </w:trPr>
        <w:tc>
          <w:tcPr>
            <w:tcW w:w="1506" w:type="dxa"/>
            <w:vAlign w:val="center"/>
          </w:tcPr>
          <w:p>
            <w:pPr>
              <w:widowControl/>
              <w:jc w:val="left"/>
              <w:textAlignment w:val="center"/>
              <w:rPr>
                <w:rFonts w:ascii="宋体" w:hAnsi="宋体" w:cs="宋体"/>
                <w:color w:val="000000"/>
                <w:sz w:val="22"/>
              </w:rPr>
            </w:pPr>
          </w:p>
        </w:tc>
        <w:tc>
          <w:tcPr>
            <w:tcW w:w="1071" w:type="dxa"/>
            <w:gridSpan w:val="2"/>
            <w:vAlign w:val="center"/>
          </w:tcPr>
          <w:p>
            <w:pPr>
              <w:jc w:val="left"/>
              <w:rPr>
                <w:rFonts w:ascii="宋体" w:hAnsi="宋体" w:cs="宋体"/>
                <w:color w:val="000000"/>
                <w:sz w:val="18"/>
                <w:szCs w:val="18"/>
              </w:rPr>
            </w:pPr>
          </w:p>
        </w:tc>
        <w:tc>
          <w:tcPr>
            <w:tcW w:w="1025" w:type="dxa"/>
            <w:vAlign w:val="center"/>
          </w:tcPr>
          <w:p>
            <w:pPr>
              <w:jc w:val="left"/>
              <w:rPr>
                <w:rFonts w:ascii="宋体" w:hAnsi="宋体" w:cs="宋体"/>
                <w:color w:val="000000"/>
                <w:sz w:val="18"/>
                <w:szCs w:val="18"/>
              </w:rPr>
            </w:pPr>
          </w:p>
        </w:tc>
        <w:tc>
          <w:tcPr>
            <w:tcW w:w="1025" w:type="dxa"/>
            <w:vAlign w:val="center"/>
          </w:tcPr>
          <w:p>
            <w:pPr>
              <w:jc w:val="left"/>
              <w:rPr>
                <w:rFonts w:ascii="宋体" w:hAnsi="宋体" w:cs="宋体"/>
                <w:color w:val="000000"/>
                <w:sz w:val="18"/>
                <w:szCs w:val="18"/>
              </w:rPr>
            </w:pPr>
          </w:p>
        </w:tc>
        <w:tc>
          <w:tcPr>
            <w:tcW w:w="1025" w:type="dxa"/>
            <w:vAlign w:val="center"/>
          </w:tcPr>
          <w:p>
            <w:pPr>
              <w:jc w:val="left"/>
              <w:rPr>
                <w:rFonts w:ascii="宋体" w:hAnsi="宋体" w:cs="宋体"/>
                <w:color w:val="000000"/>
                <w:sz w:val="18"/>
                <w:szCs w:val="18"/>
              </w:rPr>
            </w:pPr>
          </w:p>
        </w:tc>
        <w:tc>
          <w:tcPr>
            <w:tcW w:w="1478" w:type="dxa"/>
            <w:vAlign w:val="center"/>
          </w:tcPr>
          <w:p>
            <w:pPr>
              <w:jc w:val="left"/>
              <w:rPr>
                <w:rFonts w:ascii="宋体" w:hAnsi="宋体" w:cs="宋体"/>
                <w:color w:val="000000"/>
                <w:sz w:val="18"/>
                <w:szCs w:val="18"/>
              </w:rPr>
            </w:pPr>
          </w:p>
        </w:tc>
        <w:tc>
          <w:tcPr>
            <w:tcW w:w="1025" w:type="dxa"/>
            <w:vAlign w:val="center"/>
          </w:tcPr>
          <w:p>
            <w:pPr>
              <w:jc w:val="left"/>
              <w:rPr>
                <w:rFonts w:ascii="宋体" w:hAnsi="宋体" w:cs="宋体"/>
                <w:color w:val="000000"/>
                <w:sz w:val="18"/>
                <w:szCs w:val="18"/>
              </w:rPr>
            </w:pPr>
          </w:p>
        </w:tc>
        <w:tc>
          <w:tcPr>
            <w:tcW w:w="1071" w:type="dxa"/>
            <w:vAlign w:val="center"/>
          </w:tcPr>
          <w:p>
            <w:pPr>
              <w:jc w:val="left"/>
              <w:rPr>
                <w:rFonts w:ascii="宋体" w:hAnsi="宋体" w:cs="宋体"/>
                <w:color w:val="000000"/>
                <w:sz w:val="18"/>
                <w:szCs w:val="18"/>
              </w:rPr>
            </w:pPr>
          </w:p>
        </w:tc>
        <w:tc>
          <w:tcPr>
            <w:tcW w:w="1025" w:type="dxa"/>
            <w:vAlign w:val="center"/>
          </w:tcPr>
          <w:p>
            <w:pPr>
              <w:jc w:val="left"/>
              <w:rPr>
                <w:rFonts w:ascii="宋体" w:hAnsi="宋体" w:cs="宋体"/>
                <w:color w:val="000000"/>
                <w:sz w:val="18"/>
                <w:szCs w:val="18"/>
              </w:rPr>
            </w:pPr>
          </w:p>
        </w:tc>
        <w:tc>
          <w:tcPr>
            <w:tcW w:w="1025" w:type="dxa"/>
            <w:vAlign w:val="center"/>
          </w:tcPr>
          <w:p>
            <w:pPr>
              <w:jc w:val="left"/>
              <w:rPr>
                <w:rFonts w:ascii="宋体" w:hAnsi="宋体" w:cs="宋体"/>
                <w:color w:val="000000"/>
                <w:sz w:val="18"/>
                <w:szCs w:val="18"/>
              </w:rPr>
            </w:pPr>
          </w:p>
        </w:tc>
        <w:tc>
          <w:tcPr>
            <w:tcW w:w="1025" w:type="dxa"/>
            <w:vAlign w:val="center"/>
          </w:tcPr>
          <w:p>
            <w:pPr>
              <w:jc w:val="left"/>
              <w:rPr>
                <w:rFonts w:ascii="宋体" w:hAnsi="宋体" w:cs="宋体"/>
                <w:color w:val="000000"/>
                <w:sz w:val="18"/>
                <w:szCs w:val="18"/>
              </w:rPr>
            </w:pPr>
          </w:p>
        </w:tc>
        <w:tc>
          <w:tcPr>
            <w:tcW w:w="1506" w:type="dxa"/>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公开07表</w:t>
            </w:r>
          </w:p>
        </w:tc>
      </w:tr>
      <w:tr>
        <w:tblPrEx>
          <w:tblLayout w:type="fixed"/>
          <w:tblCellMar>
            <w:top w:w="15" w:type="dxa"/>
            <w:left w:w="15" w:type="dxa"/>
            <w:bottom w:w="15" w:type="dxa"/>
            <w:right w:w="15" w:type="dxa"/>
          </w:tblCellMar>
        </w:tblPrEx>
        <w:trPr>
          <w:trHeight w:val="300" w:hRule="atLeast"/>
        </w:trPr>
        <w:tc>
          <w:tcPr>
            <w:tcW w:w="4627" w:type="dxa"/>
            <w:gridSpan w:val="5"/>
            <w:tcBorders>
              <w:bottom w:val="single" w:color="auto" w:sz="4" w:space="0"/>
            </w:tcBorders>
            <w:vAlign w:val="center"/>
          </w:tcPr>
          <w:p>
            <w:pPr>
              <w:jc w:val="left"/>
              <w:rPr>
                <w:rFonts w:ascii="宋体" w:hAnsi="宋体" w:cs="宋体"/>
                <w:color w:val="000000"/>
                <w:sz w:val="18"/>
                <w:szCs w:val="18"/>
              </w:rPr>
            </w:pPr>
            <w:r>
              <w:rPr>
                <w:rFonts w:hint="eastAsia" w:ascii="宋体" w:hAnsi="宋体" w:cs="宋体"/>
                <w:color w:val="000000"/>
                <w:kern w:val="0"/>
                <w:sz w:val="22"/>
              </w:rPr>
              <w:t>部门：中共封丘县委群众工作部</w:t>
            </w:r>
          </w:p>
        </w:tc>
        <w:tc>
          <w:tcPr>
            <w:tcW w:w="1025" w:type="dxa"/>
            <w:tcBorders>
              <w:bottom w:val="single" w:color="auto" w:sz="4" w:space="0"/>
            </w:tcBorders>
            <w:vAlign w:val="center"/>
          </w:tcPr>
          <w:p>
            <w:pPr>
              <w:jc w:val="left"/>
              <w:rPr>
                <w:rFonts w:ascii="宋体" w:hAnsi="宋体" w:cs="宋体"/>
                <w:color w:val="000000"/>
                <w:sz w:val="18"/>
                <w:szCs w:val="18"/>
              </w:rPr>
            </w:pPr>
          </w:p>
        </w:tc>
        <w:tc>
          <w:tcPr>
            <w:tcW w:w="1478" w:type="dxa"/>
            <w:tcBorders>
              <w:bottom w:val="single" w:color="auto" w:sz="4" w:space="0"/>
            </w:tcBorders>
            <w:vAlign w:val="center"/>
          </w:tcPr>
          <w:p>
            <w:pPr>
              <w:jc w:val="center"/>
              <w:rPr>
                <w:rFonts w:ascii="宋体" w:hAnsi="宋体" w:cs="宋体"/>
                <w:color w:val="000000"/>
                <w:sz w:val="22"/>
              </w:rPr>
            </w:pPr>
          </w:p>
        </w:tc>
        <w:tc>
          <w:tcPr>
            <w:tcW w:w="1025" w:type="dxa"/>
            <w:tcBorders>
              <w:bottom w:val="single" w:color="auto" w:sz="4" w:space="0"/>
            </w:tcBorders>
            <w:vAlign w:val="center"/>
          </w:tcPr>
          <w:p>
            <w:pPr>
              <w:jc w:val="left"/>
              <w:rPr>
                <w:rFonts w:ascii="宋体" w:hAnsi="宋体" w:cs="宋体"/>
                <w:color w:val="000000"/>
                <w:sz w:val="18"/>
                <w:szCs w:val="18"/>
              </w:rPr>
            </w:pPr>
          </w:p>
        </w:tc>
        <w:tc>
          <w:tcPr>
            <w:tcW w:w="1071" w:type="dxa"/>
            <w:tcBorders>
              <w:bottom w:val="single" w:color="auto" w:sz="4" w:space="0"/>
            </w:tcBorders>
            <w:vAlign w:val="center"/>
          </w:tcPr>
          <w:p>
            <w:pPr>
              <w:jc w:val="left"/>
              <w:rPr>
                <w:rFonts w:ascii="宋体" w:hAnsi="宋体" w:cs="宋体"/>
                <w:color w:val="000000"/>
                <w:sz w:val="18"/>
                <w:szCs w:val="18"/>
              </w:rPr>
            </w:pPr>
          </w:p>
        </w:tc>
        <w:tc>
          <w:tcPr>
            <w:tcW w:w="1025" w:type="dxa"/>
            <w:tcBorders>
              <w:bottom w:val="single" w:color="auto" w:sz="4" w:space="0"/>
            </w:tcBorders>
            <w:vAlign w:val="center"/>
          </w:tcPr>
          <w:p>
            <w:pPr>
              <w:jc w:val="left"/>
              <w:rPr>
                <w:rFonts w:ascii="宋体" w:hAnsi="宋体" w:cs="宋体"/>
                <w:color w:val="000000"/>
                <w:sz w:val="18"/>
                <w:szCs w:val="18"/>
              </w:rPr>
            </w:pPr>
          </w:p>
        </w:tc>
        <w:tc>
          <w:tcPr>
            <w:tcW w:w="1025" w:type="dxa"/>
            <w:tcBorders>
              <w:bottom w:val="single" w:color="auto" w:sz="4" w:space="0"/>
            </w:tcBorders>
            <w:vAlign w:val="center"/>
          </w:tcPr>
          <w:p>
            <w:pPr>
              <w:jc w:val="left"/>
              <w:rPr>
                <w:rFonts w:ascii="宋体" w:hAnsi="宋体" w:cs="宋体"/>
                <w:color w:val="000000"/>
                <w:sz w:val="18"/>
                <w:szCs w:val="18"/>
              </w:rPr>
            </w:pPr>
          </w:p>
        </w:tc>
        <w:tc>
          <w:tcPr>
            <w:tcW w:w="1025" w:type="dxa"/>
            <w:tcBorders>
              <w:bottom w:val="single" w:color="auto" w:sz="4" w:space="0"/>
            </w:tcBorders>
            <w:vAlign w:val="center"/>
          </w:tcPr>
          <w:p>
            <w:pPr>
              <w:jc w:val="left"/>
              <w:rPr>
                <w:rFonts w:ascii="宋体" w:hAnsi="宋体" w:cs="宋体"/>
                <w:color w:val="000000"/>
                <w:sz w:val="18"/>
                <w:szCs w:val="18"/>
              </w:rPr>
            </w:pPr>
          </w:p>
        </w:tc>
        <w:tc>
          <w:tcPr>
            <w:tcW w:w="1506" w:type="dxa"/>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Layout w:type="fixed"/>
          <w:tblCellMar>
            <w:top w:w="15" w:type="dxa"/>
            <w:left w:w="15" w:type="dxa"/>
            <w:bottom w:w="15" w:type="dxa"/>
            <w:right w:w="15" w:type="dxa"/>
          </w:tblCellMar>
        </w:tblPrEx>
        <w:trPr>
          <w:trHeight w:val="300" w:hRule="atLeast"/>
        </w:trPr>
        <w:tc>
          <w:tcPr>
            <w:tcW w:w="7130" w:type="dxa"/>
            <w:gridSpan w:val="7"/>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预算数</w:t>
            </w:r>
          </w:p>
        </w:tc>
        <w:tc>
          <w:tcPr>
            <w:tcW w:w="6677"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Layout w:type="fixed"/>
          <w:tblCellMar>
            <w:top w:w="15" w:type="dxa"/>
            <w:left w:w="15" w:type="dxa"/>
            <w:bottom w:w="15" w:type="dxa"/>
            <w:right w:w="15" w:type="dxa"/>
          </w:tblCellMar>
        </w:tblPrEx>
        <w:trPr>
          <w:trHeight w:val="300" w:hRule="atLeast"/>
        </w:trPr>
        <w:tc>
          <w:tcPr>
            <w:tcW w:w="1506"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06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085" w:type="dxa"/>
            <w:gridSpan w:val="4"/>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478"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c>
          <w:tcPr>
            <w:tcW w:w="1025"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07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075" w:type="dxa"/>
            <w:gridSpan w:val="3"/>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506"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r>
      <w:tr>
        <w:tblPrEx>
          <w:tblLayout w:type="fixed"/>
          <w:tblCellMar>
            <w:top w:w="15" w:type="dxa"/>
            <w:left w:w="15" w:type="dxa"/>
            <w:bottom w:w="15" w:type="dxa"/>
            <w:right w:w="15" w:type="dxa"/>
          </w:tblCellMar>
        </w:tblPrEx>
        <w:trPr>
          <w:trHeight w:val="600" w:hRule="atLeast"/>
        </w:trPr>
        <w:tc>
          <w:tcPr>
            <w:tcW w:w="1506" w:type="dxa"/>
            <w:vMerge w:val="continue"/>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61" w:type="dxa"/>
            <w:vMerge w:val="continue"/>
            <w:tcBorders>
              <w:top w:val="single" w:color="auto"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35" w:type="dxa"/>
            <w:gridSpan w:val="2"/>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公务用车购置费</w:t>
            </w: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公务用车运行费</w:t>
            </w:r>
          </w:p>
        </w:tc>
        <w:tc>
          <w:tcPr>
            <w:tcW w:w="1478" w:type="dxa"/>
            <w:vMerge w:val="continue"/>
            <w:tcBorders>
              <w:top w:val="single" w:color="auto"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25" w:type="dxa"/>
            <w:vMerge w:val="continue"/>
            <w:tcBorders>
              <w:top w:val="single" w:color="auto"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71" w:type="dxa"/>
            <w:vMerge w:val="continue"/>
            <w:tcBorders>
              <w:top w:val="single" w:color="auto"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公务用车购置费</w:t>
            </w: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公务用车运行费</w:t>
            </w:r>
          </w:p>
        </w:tc>
        <w:tc>
          <w:tcPr>
            <w:tcW w:w="1506" w:type="dxa"/>
            <w:vMerge w:val="continue"/>
            <w:tcBorders>
              <w:top w:val="single" w:color="auto"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1506"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061"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035" w:type="dxa"/>
            <w:gridSpan w:val="2"/>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478"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071"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50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r>
      <w:tr>
        <w:tblPrEx>
          <w:tblLayout w:type="fixed"/>
          <w:tblCellMar>
            <w:top w:w="15" w:type="dxa"/>
            <w:left w:w="15" w:type="dxa"/>
            <w:bottom w:w="15" w:type="dxa"/>
            <w:right w:w="15" w:type="dxa"/>
          </w:tblCellMar>
        </w:tblPrEx>
        <w:trPr>
          <w:trHeight w:val="300" w:hRule="atLeast"/>
        </w:trPr>
        <w:tc>
          <w:tcPr>
            <w:tcW w:w="1506" w:type="dxa"/>
            <w:tcBorders>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7.00</w:t>
            </w:r>
          </w:p>
        </w:tc>
        <w:tc>
          <w:tcPr>
            <w:tcW w:w="106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035" w:type="dxa"/>
            <w:gridSpan w:val="2"/>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5.00</w:t>
            </w:r>
          </w:p>
        </w:tc>
        <w:tc>
          <w:tcPr>
            <w:tcW w:w="102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02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5.00</w:t>
            </w:r>
          </w:p>
        </w:tc>
        <w:tc>
          <w:tcPr>
            <w:tcW w:w="1478"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2.00</w:t>
            </w:r>
          </w:p>
        </w:tc>
        <w:tc>
          <w:tcPr>
            <w:tcW w:w="102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4.95</w:t>
            </w:r>
          </w:p>
        </w:tc>
        <w:tc>
          <w:tcPr>
            <w:tcW w:w="1071"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02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4.12</w:t>
            </w:r>
          </w:p>
        </w:tc>
        <w:tc>
          <w:tcPr>
            <w:tcW w:w="102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0.00</w:t>
            </w:r>
          </w:p>
        </w:tc>
        <w:tc>
          <w:tcPr>
            <w:tcW w:w="1025"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4.12</w:t>
            </w:r>
          </w:p>
        </w:tc>
        <w:tc>
          <w:tcPr>
            <w:tcW w:w="1506" w:type="dxa"/>
            <w:tcBorders>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0.82</w:t>
            </w:r>
          </w:p>
        </w:tc>
      </w:tr>
      <w:tr>
        <w:tblPrEx>
          <w:tblLayout w:type="fixed"/>
          <w:tblCellMar>
            <w:top w:w="15" w:type="dxa"/>
            <w:left w:w="15" w:type="dxa"/>
            <w:bottom w:w="15" w:type="dxa"/>
            <w:right w:w="15" w:type="dxa"/>
          </w:tblCellMar>
        </w:tblPrEx>
        <w:trPr>
          <w:trHeight w:val="600" w:hRule="atLeast"/>
        </w:trPr>
        <w:tc>
          <w:tcPr>
            <w:tcW w:w="13807" w:type="dxa"/>
            <w:gridSpan w:val="13"/>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注：本表反映部门本年度“三公”经费支出预决算情况。其中：预算数为“三公”经费年初预算数，决算数是包括当年一般公共预算财政拨款和以前年度结转资金安排的实际支出。</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9"/>
        <w:tblW w:w="13979" w:type="dxa"/>
        <w:tblInd w:w="0" w:type="dxa"/>
        <w:tblLayout w:type="fixed"/>
        <w:tblCellMar>
          <w:top w:w="15" w:type="dxa"/>
          <w:left w:w="15" w:type="dxa"/>
          <w:bottom w:w="15" w:type="dxa"/>
          <w:right w:w="15" w:type="dxa"/>
        </w:tblCellMar>
      </w:tblPr>
      <w:tblGrid>
        <w:gridCol w:w="522"/>
        <w:gridCol w:w="352"/>
        <w:gridCol w:w="696"/>
        <w:gridCol w:w="1049"/>
        <w:gridCol w:w="580"/>
        <w:gridCol w:w="2190"/>
        <w:gridCol w:w="2220"/>
        <w:gridCol w:w="1640"/>
        <w:gridCol w:w="1572"/>
        <w:gridCol w:w="68"/>
        <w:gridCol w:w="983"/>
        <w:gridCol w:w="657"/>
        <w:gridCol w:w="1450"/>
      </w:tblGrid>
      <w:tr>
        <w:tblPrEx>
          <w:tblLayout w:type="fixed"/>
          <w:tblCellMar>
            <w:top w:w="15" w:type="dxa"/>
            <w:left w:w="15" w:type="dxa"/>
            <w:bottom w:w="15" w:type="dxa"/>
            <w:right w:w="15" w:type="dxa"/>
          </w:tblCellMar>
        </w:tblPrEx>
        <w:trPr>
          <w:trHeight w:val="375" w:hRule="atLeast"/>
        </w:trPr>
        <w:tc>
          <w:tcPr>
            <w:tcW w:w="13979" w:type="dxa"/>
            <w:gridSpan w:val="13"/>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政府性基金预算财政拨款收入支出决算表</w:t>
            </w:r>
          </w:p>
        </w:tc>
      </w:tr>
      <w:tr>
        <w:tblPrEx>
          <w:tblLayout w:type="fixed"/>
          <w:tblCellMar>
            <w:top w:w="15" w:type="dxa"/>
            <w:left w:w="15" w:type="dxa"/>
            <w:bottom w:w="15" w:type="dxa"/>
            <w:right w:w="15" w:type="dxa"/>
          </w:tblCellMar>
        </w:tblPrEx>
        <w:trPr>
          <w:trHeight w:val="300" w:hRule="atLeast"/>
        </w:trPr>
        <w:tc>
          <w:tcPr>
            <w:tcW w:w="522" w:type="dxa"/>
            <w:vAlign w:val="center"/>
          </w:tcPr>
          <w:p>
            <w:pPr>
              <w:jc w:val="left"/>
              <w:rPr>
                <w:rFonts w:ascii="宋体" w:hAnsi="宋体" w:cs="宋体"/>
                <w:color w:val="000000"/>
                <w:sz w:val="18"/>
                <w:szCs w:val="18"/>
              </w:rPr>
            </w:pPr>
          </w:p>
        </w:tc>
        <w:tc>
          <w:tcPr>
            <w:tcW w:w="1048" w:type="dxa"/>
            <w:gridSpan w:val="2"/>
            <w:vAlign w:val="center"/>
          </w:tcPr>
          <w:p>
            <w:pPr>
              <w:jc w:val="left"/>
              <w:rPr>
                <w:rFonts w:ascii="宋体" w:hAnsi="宋体" w:cs="宋体"/>
                <w:color w:val="000000"/>
                <w:sz w:val="18"/>
                <w:szCs w:val="18"/>
              </w:rPr>
            </w:pPr>
          </w:p>
        </w:tc>
        <w:tc>
          <w:tcPr>
            <w:tcW w:w="1049" w:type="dxa"/>
            <w:vAlign w:val="center"/>
          </w:tcPr>
          <w:p>
            <w:pPr>
              <w:jc w:val="left"/>
              <w:rPr>
                <w:rFonts w:ascii="宋体" w:hAnsi="宋体" w:cs="宋体"/>
                <w:color w:val="000000"/>
                <w:sz w:val="18"/>
                <w:szCs w:val="18"/>
              </w:rPr>
            </w:pPr>
          </w:p>
        </w:tc>
        <w:tc>
          <w:tcPr>
            <w:tcW w:w="580" w:type="dxa"/>
            <w:vAlign w:val="center"/>
          </w:tcPr>
          <w:p>
            <w:pPr>
              <w:jc w:val="left"/>
              <w:rPr>
                <w:rFonts w:ascii="宋体" w:hAnsi="宋体" w:cs="宋体"/>
                <w:color w:val="000000"/>
                <w:sz w:val="18"/>
                <w:szCs w:val="18"/>
              </w:rPr>
            </w:pPr>
          </w:p>
        </w:tc>
        <w:tc>
          <w:tcPr>
            <w:tcW w:w="2190" w:type="dxa"/>
            <w:vAlign w:val="center"/>
          </w:tcPr>
          <w:p>
            <w:pPr>
              <w:jc w:val="left"/>
              <w:rPr>
                <w:rFonts w:ascii="宋体" w:hAnsi="宋体" w:cs="宋体"/>
                <w:color w:val="000000"/>
                <w:sz w:val="18"/>
                <w:szCs w:val="18"/>
              </w:rPr>
            </w:pPr>
          </w:p>
        </w:tc>
        <w:tc>
          <w:tcPr>
            <w:tcW w:w="2220" w:type="dxa"/>
            <w:vAlign w:val="center"/>
          </w:tcPr>
          <w:p>
            <w:pPr>
              <w:jc w:val="left"/>
              <w:rPr>
                <w:rFonts w:ascii="宋体" w:hAnsi="宋体" w:cs="宋体"/>
                <w:color w:val="000000"/>
                <w:sz w:val="18"/>
                <w:szCs w:val="18"/>
              </w:rPr>
            </w:pPr>
          </w:p>
        </w:tc>
        <w:tc>
          <w:tcPr>
            <w:tcW w:w="3212" w:type="dxa"/>
            <w:gridSpan w:val="2"/>
            <w:vAlign w:val="center"/>
          </w:tcPr>
          <w:p>
            <w:pPr>
              <w:jc w:val="left"/>
              <w:rPr>
                <w:rFonts w:ascii="宋体" w:hAnsi="宋体" w:cs="宋体"/>
                <w:color w:val="000000"/>
                <w:sz w:val="18"/>
                <w:szCs w:val="18"/>
              </w:rPr>
            </w:pPr>
          </w:p>
        </w:tc>
        <w:tc>
          <w:tcPr>
            <w:tcW w:w="3158" w:type="dxa"/>
            <w:gridSpan w:val="4"/>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公开08表</w:t>
            </w:r>
          </w:p>
        </w:tc>
      </w:tr>
      <w:tr>
        <w:tblPrEx>
          <w:tblLayout w:type="fixed"/>
          <w:tblCellMar>
            <w:top w:w="15" w:type="dxa"/>
            <w:left w:w="15" w:type="dxa"/>
            <w:bottom w:w="15" w:type="dxa"/>
            <w:right w:w="15" w:type="dxa"/>
          </w:tblCellMar>
        </w:tblPrEx>
        <w:trPr>
          <w:trHeight w:val="300" w:hRule="atLeast"/>
        </w:trPr>
        <w:tc>
          <w:tcPr>
            <w:tcW w:w="3199" w:type="dxa"/>
            <w:gridSpan w:val="5"/>
            <w:tcBorders>
              <w:bottom w:val="single" w:color="auto" w:sz="4" w:space="0"/>
            </w:tcBorders>
            <w:vAlign w:val="center"/>
          </w:tcPr>
          <w:p>
            <w:pPr>
              <w:jc w:val="left"/>
              <w:rPr>
                <w:rFonts w:ascii="宋体" w:hAnsi="宋体" w:cs="宋体"/>
                <w:color w:val="000000"/>
                <w:sz w:val="18"/>
                <w:szCs w:val="18"/>
              </w:rPr>
            </w:pPr>
            <w:r>
              <w:rPr>
                <w:rFonts w:hint="eastAsia" w:ascii="宋体" w:hAnsi="宋体" w:cs="宋体"/>
                <w:color w:val="000000"/>
                <w:kern w:val="0"/>
                <w:sz w:val="22"/>
              </w:rPr>
              <w:t>部门：中共封丘县为群众工作部</w:t>
            </w:r>
          </w:p>
        </w:tc>
        <w:tc>
          <w:tcPr>
            <w:tcW w:w="2190" w:type="dxa"/>
            <w:tcBorders>
              <w:bottom w:val="single" w:color="auto" w:sz="4" w:space="0"/>
            </w:tcBorders>
            <w:vAlign w:val="center"/>
          </w:tcPr>
          <w:p>
            <w:pPr>
              <w:widowControl/>
              <w:jc w:val="center"/>
              <w:textAlignment w:val="center"/>
              <w:rPr>
                <w:rFonts w:ascii="宋体" w:hAnsi="宋体" w:cs="宋体"/>
                <w:color w:val="000000"/>
                <w:sz w:val="22"/>
              </w:rPr>
            </w:pPr>
          </w:p>
        </w:tc>
        <w:tc>
          <w:tcPr>
            <w:tcW w:w="2220" w:type="dxa"/>
            <w:tcBorders>
              <w:bottom w:val="single" w:color="auto" w:sz="4" w:space="0"/>
            </w:tcBorders>
            <w:vAlign w:val="center"/>
          </w:tcPr>
          <w:p>
            <w:pPr>
              <w:jc w:val="left"/>
              <w:rPr>
                <w:rFonts w:ascii="宋体" w:hAnsi="宋体" w:cs="宋体"/>
                <w:color w:val="000000"/>
                <w:sz w:val="18"/>
                <w:szCs w:val="18"/>
              </w:rPr>
            </w:pPr>
          </w:p>
        </w:tc>
        <w:tc>
          <w:tcPr>
            <w:tcW w:w="3212" w:type="dxa"/>
            <w:gridSpan w:val="2"/>
            <w:tcBorders>
              <w:bottom w:val="single" w:color="auto" w:sz="4" w:space="0"/>
            </w:tcBorders>
            <w:vAlign w:val="center"/>
          </w:tcPr>
          <w:p>
            <w:pPr>
              <w:jc w:val="left"/>
              <w:rPr>
                <w:rFonts w:ascii="宋体" w:hAnsi="宋体" w:cs="宋体"/>
                <w:color w:val="000000"/>
                <w:sz w:val="18"/>
                <w:szCs w:val="18"/>
              </w:rPr>
            </w:pPr>
          </w:p>
        </w:tc>
        <w:tc>
          <w:tcPr>
            <w:tcW w:w="1051" w:type="dxa"/>
            <w:gridSpan w:val="2"/>
            <w:tcBorders>
              <w:bottom w:val="single" w:color="auto" w:sz="4" w:space="0"/>
            </w:tcBorders>
            <w:vAlign w:val="center"/>
          </w:tcPr>
          <w:p>
            <w:pPr>
              <w:jc w:val="left"/>
              <w:rPr>
                <w:rFonts w:ascii="宋体" w:hAnsi="宋体" w:cs="宋体"/>
                <w:color w:val="000000"/>
                <w:sz w:val="18"/>
                <w:szCs w:val="18"/>
              </w:rPr>
            </w:pPr>
          </w:p>
        </w:tc>
        <w:tc>
          <w:tcPr>
            <w:tcW w:w="2107" w:type="dxa"/>
            <w:gridSpan w:val="2"/>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Layout w:type="fixed"/>
          <w:tblCellMar>
            <w:top w:w="15" w:type="dxa"/>
            <w:left w:w="15" w:type="dxa"/>
            <w:bottom w:w="15" w:type="dxa"/>
            <w:right w:w="15" w:type="dxa"/>
          </w:tblCellMar>
        </w:tblPrEx>
        <w:trPr>
          <w:trHeight w:val="300" w:hRule="atLeast"/>
        </w:trPr>
        <w:tc>
          <w:tcPr>
            <w:tcW w:w="3199"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21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22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w:t>
            </w:r>
          </w:p>
        </w:tc>
        <w:tc>
          <w:tcPr>
            <w:tcW w:w="4920"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c>
          <w:tcPr>
            <w:tcW w:w="14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r>
      <w:tr>
        <w:tblPrEx>
          <w:tblLayout w:type="fixed"/>
          <w:tblCellMar>
            <w:top w:w="15" w:type="dxa"/>
            <w:left w:w="15" w:type="dxa"/>
            <w:bottom w:w="15" w:type="dxa"/>
            <w:right w:w="15" w:type="dxa"/>
          </w:tblCellMar>
        </w:tblPrEx>
        <w:trPr>
          <w:trHeight w:val="312" w:hRule="atLeast"/>
        </w:trPr>
        <w:tc>
          <w:tcPr>
            <w:tcW w:w="874" w:type="dxa"/>
            <w:gridSpan w:val="2"/>
            <w:vMerge w:val="restart"/>
            <w:tcBorders>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232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219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22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6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6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6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12" w:hRule="atLeast"/>
        </w:trPr>
        <w:tc>
          <w:tcPr>
            <w:tcW w:w="874" w:type="dxa"/>
            <w:gridSpan w:val="2"/>
            <w:vMerge w:val="continue"/>
            <w:tcBorders>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2325"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19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22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4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4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4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450" w:type="dxa"/>
            <w:vMerge w:val="continue"/>
            <w:tcBorders>
              <w:top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12" w:hRule="atLeast"/>
        </w:trPr>
        <w:tc>
          <w:tcPr>
            <w:tcW w:w="874" w:type="dxa"/>
            <w:gridSpan w:val="2"/>
            <w:vMerge w:val="continue"/>
            <w:tcBorders>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2325"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19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22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4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4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4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450" w:type="dxa"/>
            <w:vMerge w:val="continue"/>
            <w:tcBorders>
              <w:top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3199" w:type="dxa"/>
            <w:gridSpan w:val="5"/>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219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22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64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640" w:type="dxa"/>
            <w:gridSpan w:val="2"/>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640" w:type="dxa"/>
            <w:gridSpan w:val="2"/>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45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Layout w:type="fixed"/>
          <w:tblCellMar>
            <w:top w:w="15" w:type="dxa"/>
            <w:left w:w="15" w:type="dxa"/>
            <w:bottom w:w="15" w:type="dxa"/>
            <w:right w:w="15" w:type="dxa"/>
          </w:tblCellMar>
        </w:tblPrEx>
        <w:trPr>
          <w:trHeight w:val="300" w:hRule="atLeast"/>
        </w:trPr>
        <w:tc>
          <w:tcPr>
            <w:tcW w:w="3199" w:type="dxa"/>
            <w:gridSpan w:val="5"/>
            <w:tcBorders>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2190" w:type="dxa"/>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2220" w:type="dxa"/>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1640" w:type="dxa"/>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1640" w:type="dxa"/>
            <w:gridSpan w:val="2"/>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1640" w:type="dxa"/>
            <w:gridSpan w:val="2"/>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1450" w:type="dxa"/>
            <w:tcBorders>
              <w:bottom w:val="single" w:color="000000" w:sz="4" w:space="0"/>
              <w:right w:val="single" w:color="000000" w:sz="4" w:space="0"/>
            </w:tcBorders>
            <w:vAlign w:val="center"/>
          </w:tcPr>
          <w:p>
            <w:pPr>
              <w:jc w:val="right"/>
              <w:rPr>
                <w:rFonts w:ascii="宋体" w:hAnsi="宋体" w:cs="宋体"/>
                <w:b/>
                <w:color w:val="000000"/>
                <w:sz w:val="20"/>
                <w:szCs w:val="20"/>
              </w:rPr>
            </w:pPr>
          </w:p>
        </w:tc>
      </w:tr>
      <w:tr>
        <w:tblPrEx>
          <w:tblLayout w:type="fixed"/>
          <w:tblCellMar>
            <w:top w:w="15" w:type="dxa"/>
            <w:left w:w="15" w:type="dxa"/>
            <w:bottom w:w="15" w:type="dxa"/>
            <w:right w:w="15" w:type="dxa"/>
          </w:tblCellMar>
        </w:tblPrEx>
        <w:trPr>
          <w:trHeight w:val="300" w:hRule="atLeast"/>
        </w:trPr>
        <w:tc>
          <w:tcPr>
            <w:tcW w:w="874"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p>
        </w:tc>
        <w:tc>
          <w:tcPr>
            <w:tcW w:w="2325"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2190" w:type="dxa"/>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2220" w:type="dxa"/>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1640" w:type="dxa"/>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1640" w:type="dxa"/>
            <w:gridSpan w:val="2"/>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1640" w:type="dxa"/>
            <w:gridSpan w:val="2"/>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1450" w:type="dxa"/>
            <w:tcBorders>
              <w:bottom w:val="single" w:color="000000" w:sz="4" w:space="0"/>
              <w:right w:val="single" w:color="000000" w:sz="4" w:space="0"/>
            </w:tcBorders>
            <w:vAlign w:val="center"/>
          </w:tcPr>
          <w:p>
            <w:pPr>
              <w:jc w:val="right"/>
              <w:rPr>
                <w:rFonts w:ascii="宋体" w:hAnsi="宋体" w:cs="宋体"/>
                <w:b/>
                <w:color w:val="000000"/>
                <w:sz w:val="20"/>
                <w:szCs w:val="20"/>
              </w:rPr>
            </w:pPr>
          </w:p>
        </w:tc>
      </w:tr>
      <w:tr>
        <w:tblPrEx>
          <w:tblLayout w:type="fixed"/>
          <w:tblCellMar>
            <w:top w:w="15" w:type="dxa"/>
            <w:left w:w="15" w:type="dxa"/>
            <w:bottom w:w="15" w:type="dxa"/>
            <w:right w:w="15" w:type="dxa"/>
          </w:tblCellMar>
        </w:tblPrEx>
        <w:trPr>
          <w:trHeight w:val="300" w:hRule="atLeast"/>
        </w:trPr>
        <w:tc>
          <w:tcPr>
            <w:tcW w:w="874"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p>
        </w:tc>
        <w:tc>
          <w:tcPr>
            <w:tcW w:w="2325"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2190" w:type="dxa"/>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2220" w:type="dxa"/>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1640" w:type="dxa"/>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1640" w:type="dxa"/>
            <w:gridSpan w:val="2"/>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1640" w:type="dxa"/>
            <w:gridSpan w:val="2"/>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1450" w:type="dxa"/>
            <w:tcBorders>
              <w:bottom w:val="single" w:color="000000" w:sz="4" w:space="0"/>
              <w:right w:val="single" w:color="000000" w:sz="4" w:space="0"/>
            </w:tcBorders>
            <w:vAlign w:val="center"/>
          </w:tcPr>
          <w:p>
            <w:pPr>
              <w:jc w:val="right"/>
              <w:rPr>
                <w:rFonts w:ascii="宋体" w:hAnsi="宋体" w:cs="宋体"/>
                <w:b/>
                <w:color w:val="000000"/>
                <w:sz w:val="20"/>
                <w:szCs w:val="20"/>
              </w:rPr>
            </w:pPr>
          </w:p>
        </w:tc>
      </w:tr>
      <w:tr>
        <w:tblPrEx>
          <w:tblLayout w:type="fixed"/>
          <w:tblCellMar>
            <w:top w:w="15" w:type="dxa"/>
            <w:left w:w="15" w:type="dxa"/>
            <w:bottom w:w="15" w:type="dxa"/>
            <w:right w:w="15" w:type="dxa"/>
          </w:tblCellMar>
        </w:tblPrEx>
        <w:trPr>
          <w:trHeight w:val="300" w:hRule="atLeast"/>
        </w:trPr>
        <w:tc>
          <w:tcPr>
            <w:tcW w:w="874" w:type="dxa"/>
            <w:gridSpan w:val="2"/>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2325" w:type="dxa"/>
            <w:gridSpan w:val="3"/>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190"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2220"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640"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640" w:type="dxa"/>
            <w:gridSpan w:val="2"/>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640" w:type="dxa"/>
            <w:gridSpan w:val="2"/>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450" w:type="dxa"/>
            <w:tcBorders>
              <w:bottom w:val="single" w:color="000000" w:sz="4" w:space="0"/>
              <w:right w:val="single" w:color="000000" w:sz="4" w:space="0"/>
            </w:tcBorders>
            <w:vAlign w:val="center"/>
          </w:tcPr>
          <w:p>
            <w:pPr>
              <w:jc w:val="righ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13979" w:type="dxa"/>
            <w:gridSpan w:val="13"/>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注：本表反映部门本年度政府性基金预算财政拨款收入、支出及结转和结余情况。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rPr>
          <w:rFonts w:ascii="黑体" w:hAnsi="黑体" w:eastAsia="黑体" w:cs="黑体"/>
          <w:sz w:val="48"/>
          <w:szCs w:val="48"/>
        </w:rPr>
      </w:pPr>
      <w:r>
        <w:rPr>
          <w:rFonts w:hint="eastAsia" w:ascii="黑体" w:hAnsi="黑体" w:eastAsia="黑体" w:cs="黑体"/>
          <w:sz w:val="48"/>
          <w:szCs w:val="48"/>
        </w:rPr>
        <w:t>第三部分</w:t>
      </w:r>
    </w:p>
    <w:p>
      <w:pPr>
        <w:widowControl/>
        <w:jc w:val="center"/>
        <w:rPr>
          <w:rFonts w:ascii="黑体" w:hAnsi="黑体" w:eastAsia="黑体" w:cs="黑体"/>
          <w:sz w:val="48"/>
          <w:szCs w:val="48"/>
        </w:rPr>
      </w:pPr>
      <w:r>
        <w:rPr>
          <w:rFonts w:hint="eastAsia" w:ascii="黑体" w:hAnsi="黑体" w:eastAsia="黑体" w:cs="黑体"/>
          <w:sz w:val="48"/>
          <w:szCs w:val="48"/>
        </w:rPr>
        <w:t>2017年度部门决算情况说明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hint="eastAsia" w:ascii="仿宋" w:hAnsi="仿宋" w:eastAsia="仿宋"/>
          <w:sz w:val="32"/>
        </w:rPr>
        <w:t>2017年度收入为597.08万元，上年结余结转66.58万元支出总计为607.46万元。年终结余56.20万元，与2016年相比，收支总计各有增加，主要原因是：我们单位是2016年8月份刚刚从中共封丘县委分列出来单列计算,没有完整的记录全年的收支，而2017年则是全年计算数据，所以没有可比性。</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hint="eastAsia" w:ascii="仿宋" w:hAnsi="仿宋" w:eastAsia="仿宋"/>
          <w:sz w:val="32"/>
        </w:rPr>
        <w:t>2017年度收入合计597.08万元，其中：财政拨款收入597.08万元，占100%；</w:t>
      </w:r>
      <w:r>
        <w:rPr>
          <w:rFonts w:hint="eastAsia" w:ascii="仿宋" w:hAnsi="仿宋" w:eastAsia="仿宋" w:cs="宋体"/>
          <w:sz w:val="32"/>
        </w:rPr>
        <w:t>上级补助收入0万元，占0%；事业收入0万元，占0%；经营收入0万元，占0%；附属单位上缴收入0万元，占0%；其他收入0万元，占0%。</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三、支出决算情况说明</w:t>
      </w:r>
    </w:p>
    <w:p>
      <w:pPr>
        <w:ind w:firstLine="640"/>
        <w:rPr>
          <w:rFonts w:hint="eastAsia" w:ascii="仿宋" w:hAnsi="仿宋" w:eastAsia="仿宋" w:cs="宋体"/>
          <w:sz w:val="32"/>
        </w:rPr>
      </w:pPr>
      <w:r>
        <w:rPr>
          <w:rFonts w:hint="eastAsia" w:ascii="仿宋" w:hAnsi="仿宋" w:eastAsia="仿宋"/>
          <w:sz w:val="32"/>
        </w:rPr>
        <w:t>2017年度支出合计607.46万元，其中：基本支出281.88万元，占46.4%；项目支出325.58万元，占53.6%</w:t>
      </w:r>
      <w:r>
        <w:rPr>
          <w:rFonts w:hint="eastAsia" w:ascii="仿宋" w:hAnsi="仿宋" w:eastAsia="仿宋"/>
          <w:sz w:val="32"/>
          <w:lang w:val="en-US" w:eastAsia="zh-CN"/>
        </w:rPr>
        <w:t>；</w:t>
      </w:r>
      <w:r>
        <w:rPr>
          <w:rFonts w:hint="eastAsia" w:ascii="仿宋" w:hAnsi="仿宋" w:eastAsia="仿宋" w:cs="宋体"/>
          <w:sz w:val="32"/>
        </w:rPr>
        <w:t>上缴上级支出0万元，占0%；经营支出0万元，占0%；对附属单位支出0万元，占0%。</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黑体" w:hAnsi="黑体" w:eastAsia="黑体" w:cs="黑体"/>
          <w:sz w:val="32"/>
          <w:szCs w:val="32"/>
        </w:rPr>
      </w:pPr>
      <w:r>
        <w:rPr>
          <w:rFonts w:hint="eastAsia" w:ascii="仿宋" w:hAnsi="仿宋" w:eastAsia="仿宋"/>
          <w:sz w:val="32"/>
        </w:rPr>
        <w:t>2017年度支出总计为607.46万元。</w:t>
      </w:r>
      <w:r>
        <w:rPr>
          <w:rFonts w:hint="eastAsia" w:ascii="仿宋_GB2312" w:hAnsi="仿宋_GB2312" w:eastAsia="仿宋_GB2312" w:cs="仿宋_GB2312"/>
          <w:sz w:val="32"/>
          <w:szCs w:val="32"/>
        </w:rPr>
        <w:t>2017年度财政拨款收入597.08万元、年初结转结余66.58万元、</w:t>
      </w:r>
      <w:r>
        <w:rPr>
          <w:rFonts w:hint="eastAsia" w:ascii="仿宋" w:hAnsi="仿宋" w:eastAsia="仿宋"/>
          <w:sz w:val="32"/>
        </w:rPr>
        <w:t>年终结余56.20万元</w:t>
      </w:r>
      <w:r>
        <w:rPr>
          <w:rFonts w:hint="eastAsia" w:ascii="仿宋_GB2312" w:hAnsi="仿宋_GB2312" w:eastAsia="仿宋_GB2312" w:cs="仿宋_GB2312"/>
          <w:sz w:val="32"/>
          <w:szCs w:val="32"/>
        </w:rPr>
        <w:t>。与2016年度相比，财政拨款收、支总计各增加。主要原因是：</w:t>
      </w:r>
      <w:r>
        <w:rPr>
          <w:rFonts w:hint="eastAsia" w:ascii="仿宋" w:hAnsi="仿宋" w:eastAsia="仿宋"/>
          <w:sz w:val="32"/>
        </w:rPr>
        <w:t>我们单位是2016年8月份刚刚从中共封丘县委分列出来单列计算,没有完整的记录全年的收支，而2017年是全年数据计算，所以没有可比性。</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ind w:firstLine="640"/>
        <w:jc w:val="left"/>
        <w:rPr>
          <w:rFonts w:ascii="仿宋" w:hAnsi="仿宋" w:eastAsia="仿宋"/>
          <w:sz w:val="32"/>
        </w:rPr>
      </w:pPr>
      <w:r>
        <w:rPr>
          <w:rFonts w:hint="eastAsia" w:ascii="楷体" w:hAnsi="楷体" w:eastAsia="楷体"/>
          <w:sz w:val="32"/>
        </w:rPr>
        <w:t>（一）总体情况。</w:t>
      </w:r>
    </w:p>
    <w:p>
      <w:pPr>
        <w:ind w:firstLine="640" w:firstLineChars="200"/>
        <w:jc w:val="left"/>
        <w:rPr>
          <w:rFonts w:ascii="仿宋" w:hAnsi="仿宋" w:eastAsia="仿宋"/>
          <w:sz w:val="32"/>
        </w:rPr>
      </w:pPr>
      <w:r>
        <w:rPr>
          <w:rFonts w:hint="eastAsia" w:ascii="仿宋" w:hAnsi="仿宋" w:eastAsia="仿宋"/>
          <w:sz w:val="32"/>
        </w:rPr>
        <w:t>2017年一般公共预算财政拨款支出607.46万元，占支出合计的100%。与2016年相比，一般公共预算财政拨款支出增加，变动的主要原因是：我们单位是2016年8月份刚刚从中共封丘县委分列出来单列计算,没有完整的记录全年的收支情况、所以2017年与2016年没有可比性。</w:t>
      </w:r>
    </w:p>
    <w:p>
      <w:pPr>
        <w:ind w:firstLine="640"/>
        <w:jc w:val="left"/>
        <w:rPr>
          <w:rFonts w:ascii="仿宋" w:hAnsi="仿宋" w:eastAsia="仿宋"/>
          <w:sz w:val="32"/>
        </w:rPr>
      </w:pPr>
      <w:r>
        <w:rPr>
          <w:rFonts w:hint="eastAsia" w:ascii="楷体" w:hAnsi="楷体" w:eastAsia="楷体"/>
          <w:sz w:val="32"/>
        </w:rPr>
        <w:t>（二）结构情况。</w:t>
      </w:r>
    </w:p>
    <w:p>
      <w:pPr>
        <w:ind w:firstLine="640" w:firstLineChars="200"/>
        <w:jc w:val="left"/>
        <w:rPr>
          <w:rFonts w:ascii="仿宋" w:hAnsi="仿宋" w:eastAsia="仿宋"/>
          <w:sz w:val="32"/>
        </w:rPr>
      </w:pPr>
      <w:r>
        <w:rPr>
          <w:rFonts w:hint="eastAsia" w:ascii="仿宋" w:hAnsi="仿宋" w:eastAsia="仿宋"/>
          <w:sz w:val="32"/>
        </w:rPr>
        <w:t>2017年度一般公共预算财政拨款支出607.46万元，主要用于以下方面：一般公共服务（类）支出588.04万元，占96.8%；；社会保障和就业（类）支出14.6万元，占2.4%；医疗卫生和计划生育（类）支出4.34万元，占0.71%；农林水（类）支出0.47万元，占0.08%。</w:t>
      </w:r>
    </w:p>
    <w:p>
      <w:pPr>
        <w:ind w:firstLine="640"/>
        <w:jc w:val="left"/>
        <w:rPr>
          <w:rFonts w:ascii="仿宋" w:hAnsi="仿宋" w:eastAsia="仿宋"/>
          <w:sz w:val="32"/>
        </w:rPr>
      </w:pPr>
      <w:r>
        <w:rPr>
          <w:rFonts w:hint="eastAsia" w:ascii="楷体" w:hAnsi="楷体" w:eastAsia="楷体"/>
          <w:sz w:val="32"/>
        </w:rPr>
        <w:t>（三）具体情况。</w:t>
      </w:r>
    </w:p>
    <w:p>
      <w:pPr>
        <w:ind w:firstLine="640" w:firstLineChars="200"/>
        <w:rPr>
          <w:rFonts w:ascii="仿宋" w:hAnsi="仿宋" w:eastAsia="仿宋"/>
          <w:sz w:val="32"/>
        </w:rPr>
      </w:pPr>
      <w:r>
        <w:rPr>
          <w:rFonts w:hint="eastAsia" w:ascii="仿宋" w:hAnsi="仿宋" w:eastAsia="仿宋"/>
          <w:sz w:val="32"/>
        </w:rPr>
        <w:t>2017年度一般公共预算财政拨款支出年初预算为682.53万元，支出决算为607.46万元，完成年初预算的89%。主要原因是：信访救助金实际支出比预算支出减少，信访视频建设系统建设招标节约年初预算25万元。</w:t>
      </w:r>
    </w:p>
    <w:p>
      <w:pPr>
        <w:ind w:firstLine="643" w:firstLineChars="200"/>
        <w:rPr>
          <w:rFonts w:ascii="仿宋" w:hAnsi="仿宋" w:eastAsia="仿宋"/>
          <w:sz w:val="32"/>
        </w:rPr>
      </w:pPr>
      <w:r>
        <w:rPr>
          <w:rFonts w:hint="eastAsia" w:ascii="仿宋" w:hAnsi="仿宋" w:eastAsia="仿宋"/>
          <w:b/>
          <w:bCs/>
          <w:sz w:val="32"/>
        </w:rPr>
        <w:t>1、一般公共服务支出（类）党委办公厅（室）及相关机构事务（款）行政运行（项）</w:t>
      </w:r>
      <w:r>
        <w:rPr>
          <w:rFonts w:hint="eastAsia" w:ascii="仿宋" w:hAnsi="仿宋" w:eastAsia="仿宋"/>
          <w:sz w:val="32"/>
        </w:rPr>
        <w:t>年初预算254万元决算支出244.46万元，执行率96%。</w:t>
      </w:r>
    </w:p>
    <w:p>
      <w:pPr>
        <w:ind w:firstLine="643" w:firstLineChars="200"/>
        <w:rPr>
          <w:rFonts w:ascii="仿宋" w:hAnsi="仿宋" w:eastAsia="仿宋"/>
          <w:sz w:val="32"/>
        </w:rPr>
      </w:pPr>
      <w:r>
        <w:rPr>
          <w:rFonts w:hint="eastAsia" w:ascii="仿宋" w:hAnsi="仿宋" w:eastAsia="仿宋"/>
          <w:b/>
          <w:bCs/>
          <w:sz w:val="32"/>
        </w:rPr>
        <w:t>2、 一般公共服务支出（类）其他共产党事务支出(款)</w:t>
      </w:r>
      <w:r>
        <w:rPr>
          <w:rFonts w:hint="eastAsia" w:ascii="仿宋" w:hAnsi="仿宋" w:eastAsia="仿宋"/>
          <w:sz w:val="32"/>
        </w:rPr>
        <w:t xml:space="preserve"> 其他共产党事务支出(项)年初预算0万元决算支出18.00万元，执行率超100%。主要原因：发放市级信访先进单位奖金10万元、4个乡镇信访先进文明单位奖金8万元；总计一般公共服务支出年初预算254万元，决算执行262.46万元，执行率103.33%主要原因：人员工资调整、津贴调整、补发工资等。</w:t>
      </w:r>
    </w:p>
    <w:p>
      <w:pPr>
        <w:ind w:firstLine="643" w:firstLineChars="200"/>
        <w:rPr>
          <w:rFonts w:ascii="仿宋" w:hAnsi="仿宋" w:eastAsia="仿宋"/>
          <w:sz w:val="32"/>
        </w:rPr>
      </w:pPr>
      <w:r>
        <w:rPr>
          <w:rFonts w:hint="eastAsia" w:ascii="仿宋" w:hAnsi="仿宋" w:eastAsia="仿宋"/>
          <w:b/>
          <w:bCs/>
          <w:sz w:val="32"/>
        </w:rPr>
        <w:t>3、社会保障和就业支出（类）行政事业单位离退休费(款)机关事业单位基本养老保险交费（项）</w:t>
      </w:r>
      <w:r>
        <w:rPr>
          <w:rFonts w:hint="eastAsia" w:ascii="仿宋" w:hAnsi="仿宋" w:eastAsia="仿宋"/>
          <w:b/>
          <w:bCs/>
          <w:sz w:val="32"/>
          <w:lang w:val="en-US" w:eastAsia="zh-CN"/>
        </w:rPr>
        <w:t xml:space="preserve"> </w:t>
      </w:r>
      <w:r>
        <w:rPr>
          <w:rFonts w:hint="eastAsia" w:ascii="仿宋" w:hAnsi="仿宋" w:eastAsia="仿宋"/>
          <w:sz w:val="32"/>
        </w:rPr>
        <w:t>年初预算14.07万元</w:t>
      </w:r>
      <w:r>
        <w:rPr>
          <w:rFonts w:hint="eastAsia" w:ascii="仿宋" w:hAnsi="仿宋" w:eastAsia="仿宋"/>
          <w:sz w:val="32"/>
          <w:lang w:eastAsia="zh-CN"/>
        </w:rPr>
        <w:t>，</w:t>
      </w:r>
      <w:r>
        <w:rPr>
          <w:rFonts w:hint="eastAsia" w:ascii="仿宋" w:hAnsi="仿宋" w:eastAsia="仿宋"/>
          <w:sz w:val="32"/>
        </w:rPr>
        <w:t>决算支出14.07万元</w:t>
      </w:r>
      <w:r>
        <w:rPr>
          <w:rFonts w:hint="eastAsia" w:ascii="仿宋" w:hAnsi="仿宋" w:eastAsia="仿宋"/>
          <w:sz w:val="32"/>
          <w:lang w:eastAsia="zh-CN"/>
        </w:rPr>
        <w:t>，</w:t>
      </w:r>
      <w:r>
        <w:rPr>
          <w:rFonts w:hint="eastAsia" w:ascii="仿宋" w:hAnsi="仿宋" w:eastAsia="仿宋"/>
          <w:sz w:val="32"/>
        </w:rPr>
        <w:t>执行率100%。</w:t>
      </w:r>
    </w:p>
    <w:p>
      <w:pPr>
        <w:ind w:firstLine="643" w:firstLineChars="200"/>
        <w:rPr>
          <w:rFonts w:ascii="仿宋" w:hAnsi="仿宋" w:eastAsia="仿宋"/>
          <w:sz w:val="32"/>
        </w:rPr>
      </w:pPr>
      <w:r>
        <w:rPr>
          <w:rFonts w:hint="eastAsia" w:ascii="仿宋" w:hAnsi="仿宋" w:eastAsia="仿宋"/>
          <w:b/>
          <w:bCs/>
          <w:sz w:val="32"/>
        </w:rPr>
        <w:t>4、其他社会保障和就业支（款）其他社会保障和就业支出（项）</w:t>
      </w:r>
      <w:r>
        <w:rPr>
          <w:rFonts w:hint="eastAsia" w:ascii="仿宋" w:hAnsi="仿宋" w:eastAsia="仿宋"/>
          <w:b/>
          <w:bCs/>
          <w:sz w:val="32"/>
          <w:lang w:val="en-US" w:eastAsia="zh-CN"/>
        </w:rPr>
        <w:t xml:space="preserve"> </w:t>
      </w:r>
      <w:r>
        <w:rPr>
          <w:rFonts w:hint="eastAsia" w:ascii="仿宋" w:hAnsi="仿宋" w:eastAsia="仿宋"/>
          <w:sz w:val="32"/>
        </w:rPr>
        <w:t>年初预算0.53万元</w:t>
      </w:r>
      <w:r>
        <w:rPr>
          <w:rFonts w:hint="eastAsia" w:ascii="仿宋" w:hAnsi="仿宋" w:eastAsia="仿宋"/>
          <w:sz w:val="32"/>
          <w:lang w:eastAsia="zh-CN"/>
        </w:rPr>
        <w:t>，</w:t>
      </w:r>
      <w:r>
        <w:rPr>
          <w:rFonts w:hint="eastAsia" w:ascii="仿宋" w:hAnsi="仿宋" w:eastAsia="仿宋"/>
          <w:sz w:val="32"/>
        </w:rPr>
        <w:t>预算支出0.53万元</w:t>
      </w:r>
      <w:r>
        <w:rPr>
          <w:rFonts w:hint="eastAsia" w:ascii="仿宋" w:hAnsi="仿宋" w:eastAsia="仿宋"/>
          <w:sz w:val="32"/>
          <w:lang w:eastAsia="zh-CN"/>
        </w:rPr>
        <w:t>，</w:t>
      </w:r>
      <w:r>
        <w:rPr>
          <w:rFonts w:hint="eastAsia" w:ascii="仿宋" w:hAnsi="仿宋" w:eastAsia="仿宋"/>
          <w:sz w:val="32"/>
        </w:rPr>
        <w:t>执行率100%。</w:t>
      </w:r>
    </w:p>
    <w:p>
      <w:pPr>
        <w:ind w:firstLine="643" w:firstLineChars="200"/>
        <w:rPr>
          <w:rFonts w:ascii="仿宋" w:hAnsi="仿宋" w:eastAsia="仿宋"/>
          <w:sz w:val="32"/>
        </w:rPr>
      </w:pPr>
      <w:r>
        <w:rPr>
          <w:rFonts w:hint="eastAsia" w:ascii="仿宋" w:hAnsi="仿宋" w:eastAsia="仿宋"/>
          <w:b/>
          <w:bCs/>
          <w:sz w:val="32"/>
        </w:rPr>
        <w:t>5、医疗卫生与计划生育支出（类）行政事业单位医疗（款）行政单位医疗（项）</w:t>
      </w:r>
      <w:r>
        <w:rPr>
          <w:rFonts w:hint="eastAsia" w:ascii="仿宋" w:hAnsi="仿宋" w:eastAsia="仿宋"/>
          <w:b/>
          <w:bCs/>
          <w:sz w:val="32"/>
          <w:lang w:val="en-US" w:eastAsia="zh-CN"/>
        </w:rPr>
        <w:t xml:space="preserve">  </w:t>
      </w:r>
      <w:r>
        <w:rPr>
          <w:rFonts w:hint="eastAsia" w:ascii="仿宋" w:hAnsi="仿宋" w:eastAsia="仿宋"/>
          <w:sz w:val="32"/>
        </w:rPr>
        <w:t>支出年初预算4.43万元，决算执行4.43万元执行率100%。</w:t>
      </w:r>
    </w:p>
    <w:p>
      <w:pPr>
        <w:ind w:firstLine="643" w:firstLineChars="200"/>
        <w:rPr>
          <w:rFonts w:ascii="仿宋" w:hAnsi="仿宋" w:eastAsia="仿宋"/>
          <w:sz w:val="32"/>
        </w:rPr>
      </w:pPr>
      <w:r>
        <w:rPr>
          <w:rFonts w:hint="eastAsia" w:ascii="仿宋" w:hAnsi="仿宋" w:eastAsia="仿宋"/>
          <w:b/>
          <w:bCs/>
          <w:sz w:val="32"/>
        </w:rPr>
        <w:t>6、农林水支出（类）扶贫（款）其他扶贫支出（项）</w:t>
      </w:r>
      <w:r>
        <w:rPr>
          <w:rFonts w:hint="eastAsia" w:ascii="仿宋" w:hAnsi="仿宋" w:eastAsia="仿宋"/>
          <w:sz w:val="32"/>
        </w:rPr>
        <w:t>年初预算0</w:t>
      </w:r>
      <w:r>
        <w:rPr>
          <w:rFonts w:hint="eastAsia" w:ascii="仿宋" w:hAnsi="仿宋" w:eastAsia="仿宋"/>
          <w:sz w:val="32"/>
          <w:lang w:val="en-US" w:eastAsia="zh-CN"/>
        </w:rPr>
        <w:t>万元</w:t>
      </w:r>
      <w:r>
        <w:rPr>
          <w:rFonts w:hint="eastAsia" w:ascii="仿宋" w:hAnsi="仿宋" w:eastAsia="仿宋"/>
          <w:sz w:val="32"/>
          <w:lang w:eastAsia="zh-CN"/>
        </w:rPr>
        <w:t>，</w:t>
      </w:r>
      <w:r>
        <w:rPr>
          <w:rFonts w:hint="eastAsia" w:ascii="仿宋" w:hAnsi="仿宋" w:eastAsia="仿宋"/>
          <w:sz w:val="32"/>
        </w:rPr>
        <w:t>决算支出0.47万元</w:t>
      </w:r>
      <w:r>
        <w:rPr>
          <w:rFonts w:hint="eastAsia" w:ascii="仿宋" w:hAnsi="仿宋" w:eastAsia="仿宋"/>
          <w:sz w:val="32"/>
          <w:lang w:eastAsia="zh-CN"/>
        </w:rPr>
        <w:t>，</w:t>
      </w:r>
      <w:r>
        <w:rPr>
          <w:rFonts w:hint="eastAsia" w:ascii="仿宋" w:hAnsi="仿宋" w:eastAsia="仿宋"/>
          <w:sz w:val="32"/>
          <w:lang w:val="en-US" w:eastAsia="zh-CN"/>
        </w:rPr>
        <w:t>用于扶贫</w:t>
      </w:r>
      <w:r>
        <w:rPr>
          <w:rFonts w:hint="eastAsia" w:ascii="仿宋" w:hAnsi="仿宋" w:eastAsia="仿宋"/>
          <w:sz w:val="32"/>
        </w:rPr>
        <w:t>。</w:t>
      </w:r>
    </w:p>
    <w:p>
      <w:pPr>
        <w:ind w:firstLine="643" w:firstLineChars="200"/>
        <w:rPr>
          <w:rFonts w:ascii="仿宋" w:hAnsi="仿宋" w:eastAsia="仿宋"/>
          <w:sz w:val="32"/>
        </w:rPr>
      </w:pPr>
      <w:r>
        <w:rPr>
          <w:rFonts w:hint="eastAsia" w:ascii="仿宋" w:hAnsi="仿宋" w:eastAsia="仿宋"/>
          <w:b/>
          <w:bCs/>
          <w:sz w:val="32"/>
        </w:rPr>
        <w:t>7、一般公共服务支出（类）党委办公厅（室）及相关机构事务（款）</w:t>
      </w:r>
      <w:r>
        <w:rPr>
          <w:rFonts w:hint="eastAsia" w:ascii="仿宋" w:hAnsi="仿宋" w:eastAsia="仿宋"/>
          <w:sz w:val="32"/>
        </w:rPr>
        <w:t>专项活动（项）年初预算250万元，决算执行225.58万元，执行率90%。主要原因：通过公开招投标降低了工程造价节约了资金。</w:t>
      </w:r>
    </w:p>
    <w:p>
      <w:pPr>
        <w:ind w:firstLine="643" w:firstLineChars="200"/>
        <w:rPr>
          <w:rFonts w:ascii="仿宋" w:hAnsi="仿宋" w:eastAsia="仿宋"/>
          <w:sz w:val="32"/>
        </w:rPr>
      </w:pPr>
      <w:r>
        <w:rPr>
          <w:rFonts w:hint="eastAsia" w:ascii="仿宋" w:hAnsi="仿宋" w:eastAsia="仿宋"/>
          <w:b/>
          <w:bCs/>
          <w:sz w:val="32"/>
        </w:rPr>
        <w:t>8、一般公共服务支出（类）党委办公厅（室）及相关机构事务（款）信访事务（项）</w:t>
      </w:r>
      <w:r>
        <w:rPr>
          <w:rFonts w:hint="eastAsia" w:ascii="仿宋" w:hAnsi="仿宋" w:eastAsia="仿宋"/>
          <w:sz w:val="32"/>
        </w:rPr>
        <w:t>年初预算100万元，决算支出100万元执行率100%。</w:t>
      </w:r>
    </w:p>
    <w:p>
      <w:pPr>
        <w:ind w:firstLine="640" w:firstLineChars="200"/>
        <w:jc w:val="left"/>
        <w:rPr>
          <w:rFonts w:ascii="仿宋" w:hAnsi="仿宋" w:eastAsia="仿宋"/>
          <w:sz w:val="32"/>
        </w:rPr>
      </w:pPr>
      <w:r>
        <w:rPr>
          <w:rFonts w:hint="eastAsia" w:ascii="黑体" w:hAnsi="黑体" w:eastAsia="黑体"/>
          <w:sz w:val="32"/>
        </w:rPr>
        <w:t>六、一般公共预算财政拨款基本支出决算情况说明</w:t>
      </w:r>
    </w:p>
    <w:p>
      <w:pPr>
        <w:ind w:left="638" w:leftChars="304" w:firstLine="960" w:firstLineChars="300"/>
        <w:jc w:val="left"/>
        <w:rPr>
          <w:rFonts w:ascii="仿宋" w:hAnsi="仿宋" w:eastAsia="仿宋"/>
          <w:sz w:val="32"/>
        </w:rPr>
      </w:pPr>
      <w:r>
        <w:rPr>
          <w:rFonts w:hint="eastAsia" w:ascii="仿宋" w:hAnsi="仿宋" w:eastAsia="仿宋"/>
          <w:sz w:val="32"/>
        </w:rPr>
        <w:t>2017年一般公共预算财政拨款基本支出281.88万元。与2016年相比，增加179.38万元，增长175%。变动的主要原因：我们单位是2016年8月份刚刚从中共封丘县委分列出来单列计算,没有完整的记录全年的收支，2017年与2016年没有可比性。其中：人员经费259.12万元，主要包括：基本工资、津贴补贴、伙食补助费、绩效工资、临时工工资等；公用经费22.75万元，主要包括：办公费、水费、电费等。</w:t>
      </w:r>
    </w:p>
    <w:p>
      <w:pPr>
        <w:ind w:left="638" w:leftChars="304" w:firstLine="640" w:firstLineChars="200"/>
        <w:jc w:val="left"/>
        <w:rPr>
          <w:rFonts w:ascii="仿宋" w:hAnsi="仿宋" w:eastAsia="仿宋"/>
          <w:sz w:val="32"/>
        </w:rPr>
      </w:pPr>
      <w:r>
        <w:rPr>
          <w:rFonts w:hint="eastAsia" w:ascii="黑体" w:hAnsi="黑体" w:eastAsia="黑体"/>
          <w:sz w:val="32"/>
        </w:rPr>
        <w:t>七、一般公共预算财政拨款“三公”经费支出决算情况说明</w:t>
      </w:r>
    </w:p>
    <w:p>
      <w:pPr>
        <w:ind w:firstLine="1280" w:firstLineChars="400"/>
        <w:jc w:val="left"/>
        <w:rPr>
          <w:rFonts w:ascii="仿宋" w:hAnsi="仿宋" w:eastAsia="仿宋"/>
          <w:sz w:val="32"/>
        </w:rPr>
      </w:pPr>
      <w:r>
        <w:rPr>
          <w:rFonts w:hint="eastAsia" w:ascii="楷体" w:hAnsi="楷体" w:eastAsia="楷体"/>
          <w:sz w:val="32"/>
        </w:rPr>
        <w:t>（一）“三公”经费财政拨款支出决算总体情况说明。</w:t>
      </w:r>
    </w:p>
    <w:p>
      <w:pPr>
        <w:ind w:left="638" w:leftChars="304" w:firstLine="969" w:firstLineChars="303"/>
        <w:rPr>
          <w:rFonts w:ascii="仿宋" w:hAnsi="仿宋" w:eastAsia="仿宋"/>
          <w:sz w:val="32"/>
        </w:rPr>
      </w:pPr>
      <w:r>
        <w:rPr>
          <w:rFonts w:hint="eastAsia" w:ascii="仿宋" w:hAnsi="仿宋" w:eastAsia="仿宋"/>
          <w:sz w:val="32"/>
        </w:rPr>
        <w:t>2017年度“三公”经费财政拨款支出预算为7万元，支出决算为4.95万元，完成预算的70.7%。2017年度“三公”经费支出决算数与预算数存在差异的主要原因是：严格按照有关规定勤俭节约减少开支。</w:t>
      </w:r>
    </w:p>
    <w:p>
      <w:pPr>
        <w:ind w:firstLine="1280" w:firstLineChars="400"/>
        <w:rPr>
          <w:rFonts w:ascii="仿宋" w:hAnsi="仿宋" w:eastAsia="仿宋"/>
          <w:sz w:val="32"/>
        </w:rPr>
      </w:pPr>
      <w:r>
        <w:rPr>
          <w:rFonts w:hint="eastAsia" w:ascii="楷体" w:hAnsi="楷体" w:eastAsia="楷体"/>
          <w:sz w:val="32"/>
        </w:rPr>
        <w:t>（二）“三公”经费财政拨款支出决算具体情况说明。</w:t>
      </w:r>
    </w:p>
    <w:p>
      <w:pPr>
        <w:ind w:left="638" w:leftChars="304" w:firstLine="969" w:firstLineChars="303"/>
        <w:rPr>
          <w:rFonts w:ascii="仿宋" w:hAnsi="仿宋" w:eastAsia="仿宋"/>
          <w:sz w:val="32"/>
        </w:rPr>
      </w:pPr>
      <w:r>
        <w:rPr>
          <w:rFonts w:hint="eastAsia" w:ascii="仿宋" w:hAnsi="仿宋" w:eastAsia="仿宋"/>
          <w:sz w:val="32"/>
        </w:rPr>
        <w:t>2017年度“三公”经费财政拨款支出决算中，因公出国（境）费支出决算0万元，公务用车购置及运行费支出决算4.12万元，占83.35%，完成预算的82.5%；公务接待费支出决算0.82万元，占16.65%，完成预算的41.2%。具体情况如下：</w:t>
      </w:r>
    </w:p>
    <w:p>
      <w:pPr>
        <w:ind w:firstLine="640" w:firstLineChars="200"/>
        <w:jc w:val="left"/>
        <w:rPr>
          <w:rFonts w:hint="eastAsia" w:ascii="仿宋" w:hAnsi="仿宋" w:eastAsia="仿宋"/>
          <w:sz w:val="32"/>
          <w:lang w:val="en-US" w:eastAsia="zh-CN"/>
        </w:rPr>
      </w:pPr>
      <w:r>
        <w:rPr>
          <w:rFonts w:hint="eastAsia" w:ascii="仿宋" w:hAnsi="仿宋" w:eastAsia="仿宋"/>
          <w:sz w:val="32"/>
        </w:rPr>
        <w:t>1．因公出国（境）费支出0万元。</w:t>
      </w:r>
      <w:r>
        <w:rPr>
          <w:rFonts w:hint="eastAsia" w:ascii="仿宋" w:hAnsi="仿宋" w:eastAsia="仿宋"/>
          <w:sz w:val="32"/>
          <w:lang w:val="en-US" w:eastAsia="zh-CN"/>
        </w:rPr>
        <w:t>2017年支出决算与2016年相比无变化。</w:t>
      </w:r>
    </w:p>
    <w:p>
      <w:pPr>
        <w:ind w:firstLine="640" w:firstLineChars="200"/>
        <w:jc w:val="left"/>
        <w:rPr>
          <w:rFonts w:ascii="仿宋" w:hAnsi="仿宋" w:eastAsia="仿宋"/>
          <w:sz w:val="32"/>
        </w:rPr>
      </w:pPr>
      <w:r>
        <w:rPr>
          <w:rFonts w:hint="eastAsia" w:ascii="仿宋" w:hAnsi="仿宋" w:eastAsia="仿宋"/>
          <w:sz w:val="32"/>
        </w:rPr>
        <w:t>2．公务用车购置及运行费支出4.12万元。其中：</w:t>
      </w:r>
    </w:p>
    <w:p>
      <w:pPr>
        <w:ind w:firstLine="640" w:firstLineChars="200"/>
        <w:jc w:val="left"/>
        <w:rPr>
          <w:rFonts w:ascii="仿宋" w:hAnsi="仿宋" w:eastAsia="仿宋"/>
          <w:sz w:val="32"/>
        </w:rPr>
      </w:pPr>
      <w:r>
        <w:rPr>
          <w:rFonts w:hint="eastAsia" w:ascii="仿宋" w:hAnsi="仿宋" w:eastAsia="仿宋"/>
          <w:sz w:val="32"/>
        </w:rPr>
        <w:t>公务用车购置支出为0万元，购置车辆0台。公务用车运行支出4.12万元。主要用于车辆加油、维修、保险等。2017年期末，部门财政拨款公务用车保有量为0辆。</w:t>
      </w:r>
    </w:p>
    <w:p>
      <w:pPr>
        <w:ind w:firstLine="640" w:firstLineChars="200"/>
        <w:jc w:val="left"/>
        <w:rPr>
          <w:rFonts w:ascii="仿宋" w:hAnsi="仿宋" w:eastAsia="仿宋"/>
          <w:sz w:val="32"/>
        </w:rPr>
      </w:pPr>
      <w:r>
        <w:rPr>
          <w:rFonts w:hint="eastAsia" w:ascii="仿宋" w:hAnsi="仿宋" w:eastAsia="仿宋"/>
          <w:sz w:val="32"/>
        </w:rPr>
        <w:t>公务用车购置运行费支出决算比2016年度增加1.86万元，增长82.19%，主要原因是：我们单位是2016年8月份刚刚从中共封丘县委分列出来单列计算,没有完整的记录全年的收支2017年与2016年没有可比性，再有信访维稳值班次数增加。</w:t>
      </w:r>
    </w:p>
    <w:p>
      <w:pPr>
        <w:ind w:firstLine="640" w:firstLineChars="200"/>
        <w:jc w:val="left"/>
        <w:rPr>
          <w:rFonts w:ascii="仿宋" w:hAnsi="仿宋" w:eastAsia="仿宋"/>
          <w:sz w:val="32"/>
        </w:rPr>
      </w:pPr>
      <w:r>
        <w:rPr>
          <w:rFonts w:hint="eastAsia" w:ascii="仿宋" w:hAnsi="仿宋" w:eastAsia="仿宋"/>
          <w:sz w:val="32"/>
        </w:rPr>
        <w:t>3．公务接待费支出0.82万元。其中：</w:t>
      </w:r>
    </w:p>
    <w:p>
      <w:pPr>
        <w:ind w:firstLine="640" w:firstLineChars="200"/>
        <w:jc w:val="left"/>
        <w:rPr>
          <w:rFonts w:ascii="仿宋" w:hAnsi="仿宋" w:eastAsia="仿宋"/>
          <w:sz w:val="32"/>
        </w:rPr>
      </w:pPr>
      <w:r>
        <w:rPr>
          <w:rFonts w:hint="eastAsia" w:ascii="仿宋" w:hAnsi="仿宋" w:eastAsia="仿宋"/>
          <w:sz w:val="32"/>
        </w:rPr>
        <w:t>外宾接待支出0万元，其他国内公务接待支出0.82万元，主要用于招待上级、同级检查信访工作支出等。</w:t>
      </w:r>
    </w:p>
    <w:p>
      <w:pPr>
        <w:ind w:firstLine="640" w:firstLineChars="200"/>
        <w:jc w:val="left"/>
        <w:rPr>
          <w:rFonts w:ascii="仿宋" w:hAnsi="仿宋" w:eastAsia="仿宋"/>
          <w:sz w:val="32"/>
        </w:rPr>
      </w:pPr>
      <w:r>
        <w:rPr>
          <w:rFonts w:hint="eastAsia" w:ascii="仿宋" w:hAnsi="仿宋" w:eastAsia="仿宋"/>
          <w:sz w:val="32"/>
        </w:rPr>
        <w:t>公务接待费支出决算比2016年度增加0.56万元，增长212.01%，主要原因是：我们单位是2016年8月份刚刚从中共封丘县委分列出来单列计算,没有完整的记录全年的收支，2017年与2016年没有可比性。</w:t>
      </w:r>
    </w:p>
    <w:p>
      <w:pPr>
        <w:ind w:firstLine="640" w:firstLineChars="200"/>
        <w:jc w:val="left"/>
        <w:rPr>
          <w:rFonts w:ascii="仿宋" w:hAnsi="仿宋" w:eastAsia="仿宋"/>
          <w:sz w:val="32"/>
        </w:rPr>
      </w:pPr>
      <w:r>
        <w:rPr>
          <w:rFonts w:hint="eastAsia" w:ascii="仿宋" w:hAnsi="仿宋" w:eastAsia="仿宋"/>
          <w:sz w:val="32"/>
        </w:rPr>
        <w:t>中国共产党河南省新乡市封丘县委群众工作部2017年度共接待国内来访团组21个、来访人员121人次（不包括陪同人员）。</w:t>
      </w:r>
    </w:p>
    <w:p>
      <w:pPr>
        <w:ind w:firstLine="640" w:firstLineChars="200"/>
        <w:jc w:val="left"/>
        <w:rPr>
          <w:rFonts w:ascii="仿宋" w:hAnsi="仿宋" w:eastAsia="仿宋"/>
          <w:sz w:val="32"/>
        </w:rPr>
      </w:pPr>
      <w:r>
        <w:rPr>
          <w:rFonts w:hint="eastAsia" w:ascii="黑体" w:hAnsi="黑体" w:eastAsia="黑体"/>
          <w:sz w:val="32"/>
        </w:rPr>
        <w:t>八、预算绩效情况说明</w:t>
      </w:r>
    </w:p>
    <w:p>
      <w:pPr>
        <w:ind w:firstLine="640" w:firstLineChars="200"/>
        <w:jc w:val="left"/>
        <w:rPr>
          <w:rFonts w:ascii="仿宋" w:hAnsi="仿宋" w:eastAsia="仿宋"/>
          <w:sz w:val="32"/>
        </w:rPr>
      </w:pPr>
      <w:r>
        <w:rPr>
          <w:rFonts w:hint="eastAsia" w:ascii="楷体" w:hAnsi="楷体" w:eastAsia="楷体"/>
          <w:sz w:val="32"/>
        </w:rPr>
        <w:t>（一）绩效管理工作开展情况。</w:t>
      </w:r>
    </w:p>
    <w:p>
      <w:pPr>
        <w:ind w:firstLine="640" w:firstLineChars="200"/>
        <w:jc w:val="left"/>
        <w:rPr>
          <w:rFonts w:ascii="仿宋" w:hAnsi="仿宋" w:eastAsia="仿宋"/>
          <w:sz w:val="32"/>
        </w:rPr>
      </w:pPr>
      <w:r>
        <w:rPr>
          <w:rFonts w:hint="eastAsia" w:ascii="仿宋" w:hAnsi="仿宋" w:eastAsia="仿宋"/>
          <w:sz w:val="32"/>
        </w:rPr>
        <w:t>按照绩效管理之规定，年初经过充分研究、调研、讨论制定年终绩效目标，并制定各种相应的绩效考核制度、绩效考核管理办法、标准、绩效应用等规定，做到了工作目标和任务达成一致，确立单位未来的发展目标。</w:t>
      </w:r>
    </w:p>
    <w:p>
      <w:pPr>
        <w:ind w:firstLine="640" w:firstLineChars="200"/>
        <w:jc w:val="left"/>
        <w:rPr>
          <w:rFonts w:ascii="仿宋" w:hAnsi="仿宋" w:eastAsia="仿宋"/>
          <w:sz w:val="32"/>
        </w:rPr>
      </w:pPr>
      <w:r>
        <w:rPr>
          <w:rFonts w:hint="eastAsia" w:ascii="楷体" w:hAnsi="楷体" w:eastAsia="楷体"/>
          <w:sz w:val="32"/>
        </w:rPr>
        <w:t>（二）项目绩效自评结果。</w:t>
      </w:r>
    </w:p>
    <w:p>
      <w:pPr>
        <w:ind w:firstLine="640" w:firstLineChars="200"/>
        <w:jc w:val="left"/>
        <w:rPr>
          <w:rFonts w:ascii="仿宋" w:hAnsi="仿宋" w:eastAsia="仿宋"/>
          <w:sz w:val="32"/>
        </w:rPr>
      </w:pPr>
      <w:r>
        <w:rPr>
          <w:rFonts w:hint="eastAsia" w:ascii="仿宋" w:hAnsi="仿宋" w:eastAsia="仿宋"/>
          <w:sz w:val="32"/>
        </w:rPr>
        <w:t>通过全局各个科室一年的努力实现了年初制定的目标计划，各项工作在同行业中处于中上游水平，争取明年各项工作再上一个新台阶。</w:t>
      </w:r>
    </w:p>
    <w:p>
      <w:pPr>
        <w:ind w:firstLine="640" w:firstLineChars="200"/>
        <w:jc w:val="left"/>
        <w:rPr>
          <w:rFonts w:ascii="仿宋" w:hAnsi="仿宋" w:eastAsia="仿宋"/>
          <w:sz w:val="32"/>
        </w:rPr>
      </w:pPr>
      <w:r>
        <w:rPr>
          <w:rFonts w:hint="eastAsia" w:ascii="黑体" w:hAnsi="黑体" w:eastAsia="黑体"/>
          <w:sz w:val="32"/>
        </w:rPr>
        <w:t>九、政府性基金预算财政拨款支出决算情况说明</w:t>
      </w:r>
    </w:p>
    <w:p>
      <w:pPr>
        <w:ind w:firstLine="640" w:firstLineChars="200"/>
        <w:rPr>
          <w:rFonts w:ascii="仿宋" w:hAnsi="仿宋" w:eastAsia="仿宋"/>
          <w:sz w:val="32"/>
        </w:rPr>
      </w:pPr>
      <w:r>
        <w:rPr>
          <w:rFonts w:hint="eastAsia" w:ascii="仿宋" w:hAnsi="仿宋" w:eastAsia="仿宋"/>
          <w:sz w:val="32"/>
        </w:rPr>
        <w:t>2017年度政府性基金预算财政拨款支出年初预算为0万元，支出决算为0万元。</w:t>
      </w:r>
    </w:p>
    <w:p>
      <w:pPr>
        <w:ind w:firstLine="640" w:firstLineChars="200"/>
        <w:jc w:val="left"/>
        <w:rPr>
          <w:rFonts w:ascii="仿宋" w:hAnsi="仿宋" w:eastAsia="仿宋"/>
          <w:sz w:val="32"/>
        </w:rPr>
      </w:pPr>
      <w:r>
        <w:rPr>
          <w:rFonts w:hint="eastAsia" w:ascii="黑体" w:hAnsi="黑体" w:eastAsia="黑体"/>
          <w:sz w:val="32"/>
        </w:rPr>
        <w:t>十、机关运行经费支出情况说明</w:t>
      </w:r>
    </w:p>
    <w:p>
      <w:pPr>
        <w:ind w:firstLine="640" w:firstLineChars="200"/>
        <w:rPr>
          <w:rFonts w:ascii="仿宋" w:hAnsi="仿宋" w:eastAsia="仿宋"/>
          <w:sz w:val="32"/>
        </w:rPr>
      </w:pPr>
      <w:r>
        <w:rPr>
          <w:rFonts w:hint="eastAsia" w:ascii="仿宋" w:hAnsi="仿宋" w:eastAsia="仿宋"/>
          <w:sz w:val="32"/>
        </w:rPr>
        <w:t>2017年度机关运行经费支出22.75万元，较201年度减少34.19万元，下降60.04%。减少的主要原因是我们单位是2016年8月份刚刚从中共封丘县委分列出来单列计算,没有完整的记录全年的收支，与2016年没有可比性。</w:t>
      </w:r>
    </w:p>
    <w:p>
      <w:pPr>
        <w:ind w:firstLine="640" w:firstLineChars="200"/>
        <w:jc w:val="left"/>
        <w:rPr>
          <w:rFonts w:ascii="仿宋" w:hAnsi="仿宋" w:eastAsia="仿宋"/>
          <w:sz w:val="32"/>
        </w:rPr>
      </w:pPr>
      <w:r>
        <w:rPr>
          <w:rFonts w:hint="eastAsia" w:ascii="黑体" w:hAnsi="黑体" w:eastAsia="黑体"/>
          <w:sz w:val="32"/>
        </w:rPr>
        <w:t>十一、政府采购支出情况说明</w:t>
      </w:r>
    </w:p>
    <w:p>
      <w:pPr>
        <w:ind w:firstLine="640" w:firstLineChars="200"/>
        <w:rPr>
          <w:rFonts w:ascii="仿宋" w:hAnsi="仿宋" w:eastAsia="仿宋"/>
          <w:sz w:val="32"/>
        </w:rPr>
      </w:pPr>
      <w:r>
        <w:rPr>
          <w:rFonts w:hint="eastAsia" w:ascii="仿宋" w:hAnsi="仿宋" w:eastAsia="仿宋"/>
          <w:sz w:val="32"/>
        </w:rPr>
        <w:t>2017年度政府采购支出总额227.13万元，其中：政府采购货物支出227.13万元，政府采购工程支出0万元，政府采购服务支出0万元。</w:t>
      </w:r>
      <w:r>
        <w:rPr>
          <w:rFonts w:hint="eastAsia" w:ascii="仿宋" w:hAnsi="仿宋" w:eastAsia="仿宋" w:cs="宋体"/>
          <w:sz w:val="32"/>
        </w:rPr>
        <w:t>授予中小企业合同金额0万元，占政府采购支出总额的0%，其中：授予小微企业合同金额0万元，占政府采购支出总额的0%。</w:t>
      </w:r>
    </w:p>
    <w:p>
      <w:pPr>
        <w:ind w:firstLine="640" w:firstLineChars="200"/>
        <w:jc w:val="left"/>
        <w:rPr>
          <w:rFonts w:ascii="仿宋" w:hAnsi="仿宋" w:eastAsia="仿宋"/>
          <w:sz w:val="32"/>
        </w:rPr>
      </w:pPr>
      <w:r>
        <w:rPr>
          <w:rFonts w:hint="eastAsia" w:ascii="黑体" w:hAnsi="黑体" w:eastAsia="黑体"/>
          <w:sz w:val="32"/>
        </w:rPr>
        <w:t>十二、国有资产占用情况说明</w:t>
      </w:r>
    </w:p>
    <w:p>
      <w:pPr>
        <w:ind w:firstLine="640" w:firstLineChars="200"/>
        <w:jc w:val="left"/>
        <w:rPr>
          <w:rFonts w:ascii="仿宋" w:hAnsi="仿宋" w:eastAsia="仿宋"/>
          <w:sz w:val="32"/>
        </w:rPr>
      </w:pPr>
      <w:r>
        <w:rPr>
          <w:rFonts w:hint="eastAsia" w:ascii="仿宋" w:hAnsi="仿宋" w:eastAsia="仿宋"/>
          <w:sz w:val="32"/>
        </w:rPr>
        <w:t xml:space="preserve"> 2017年期末，中国共产党河南省新乡市封丘县委群众工作部共有车辆0辆，其中：一般公务用车0辆、一般执法执勤用车0辆、特种专业技术用车0辆，其他用车0辆，单位价值50万元以上通用设备0台（套），单位价值100万元以上专用设备1台（套）。</w:t>
      </w:r>
    </w:p>
    <w:p>
      <w:pPr>
        <w:ind w:firstLine="640" w:firstLineChars="200"/>
        <w:jc w:val="left"/>
        <w:rPr>
          <w:rFonts w:ascii="仿宋" w:hAnsi="仿宋" w:eastAsia="仿宋"/>
          <w:sz w:val="32"/>
        </w:rPr>
      </w:pPr>
      <w:r>
        <w:rPr>
          <w:rFonts w:hint="eastAsia" w:ascii="黑体" w:hAnsi="黑体" w:eastAsia="黑体"/>
          <w:sz w:val="32"/>
        </w:rPr>
        <w:t>十三、其他重要事项的情况说明</w:t>
      </w:r>
    </w:p>
    <w:p>
      <w:pPr>
        <w:ind w:left="566" w:hanging="566" w:hangingChars="177"/>
        <w:jc w:val="left"/>
        <w:rPr>
          <w:rFonts w:eastAsia="仿宋"/>
          <w:sz w:val="52"/>
        </w:rPr>
      </w:pPr>
      <w:r>
        <w:rPr>
          <w:rFonts w:hint="eastAsia" w:ascii="仿宋" w:hAnsi="仿宋" w:eastAsia="仿宋"/>
          <w:sz w:val="32"/>
        </w:rPr>
        <w:t xml:space="preserve">    无</w:t>
      </w:r>
    </w:p>
    <w:p>
      <w:pPr>
        <w:rPr>
          <w:rFonts w:eastAsia="Times New Roman"/>
        </w:rPr>
      </w:pPr>
    </w:p>
    <w:p>
      <w:pPr>
        <w:jc w:val="left"/>
        <w:rPr>
          <w:rFonts w:ascii="宋体" w:hAnsi="宋体"/>
          <w:kern w:val="0"/>
          <w:sz w:val="18"/>
          <w:lang w:val="zh-CN"/>
        </w:rPr>
      </w:pPr>
    </w:p>
    <w:p>
      <w:pPr>
        <w:widowControl/>
        <w:spacing w:line="590" w:lineRule="exact"/>
        <w:ind w:firstLine="640" w:firstLineChars="200"/>
        <w:rPr>
          <w:rFonts w:ascii="仿宋_GB2312" w:hAnsi="仿宋_GB2312" w:eastAsia="仿宋_GB2312" w:cs="仿宋_GB2312"/>
          <w:sz w:val="32"/>
          <w:szCs w:val="32"/>
        </w:rPr>
      </w:pPr>
    </w:p>
    <w:p>
      <w:pPr>
        <w:widowControl/>
        <w:spacing w:line="590" w:lineRule="exact"/>
        <w:ind w:firstLine="640" w:firstLineChars="200"/>
        <w:rPr>
          <w:rFonts w:ascii="仿宋_GB2312" w:hAnsi="仿宋_GB2312" w:eastAsia="仿宋_GB2312" w:cs="仿宋_GB2312"/>
          <w:sz w:val="32"/>
          <w:szCs w:val="32"/>
        </w:rPr>
      </w:pPr>
    </w:p>
    <w:p>
      <w:pPr>
        <w:widowControl/>
        <w:spacing w:line="590" w:lineRule="exact"/>
        <w:ind w:firstLine="640" w:firstLineChars="200"/>
        <w:rPr>
          <w:rFonts w:ascii="仿宋_GB2312" w:hAnsi="仿宋_GB2312" w:eastAsia="仿宋_GB2312" w:cs="仿宋_GB2312"/>
          <w:sz w:val="32"/>
          <w:szCs w:val="32"/>
        </w:rPr>
      </w:pP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ascii="仿宋_GB2312" w:hAnsi="仿宋_GB2312" w:eastAsia="仿宋_GB2312" w:cs="仿宋_GB2312"/>
          <w:sz w:val="32"/>
          <w:szCs w:val="32"/>
        </w:rPr>
      </w:pPr>
    </w:p>
    <w:p>
      <w:pPr>
        <w:widowControl/>
        <w:spacing w:line="590" w:lineRule="exact"/>
        <w:ind w:firstLine="640" w:firstLineChars="200"/>
        <w:rPr>
          <w:rFonts w:ascii="仿宋_GB2312" w:hAnsi="仿宋_GB2312" w:eastAsia="仿宋_GB2312" w:cs="仿宋_GB2312"/>
          <w:sz w:val="32"/>
          <w:szCs w:val="32"/>
        </w:rPr>
      </w:pPr>
    </w:p>
    <w:p>
      <w:pPr>
        <w:widowControl/>
        <w:spacing w:line="590" w:lineRule="exact"/>
        <w:ind w:firstLine="640" w:firstLineChars="200"/>
        <w:rPr>
          <w:rFonts w:ascii="仿宋_GB2312" w:hAnsi="仿宋_GB2312" w:eastAsia="仿宋_GB2312" w:cs="仿宋_GB2312"/>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rPr>
          <w:rFonts w:ascii="黑体" w:hAnsi="黑体" w:eastAsia="黑体" w:cs="黑体"/>
          <w:sz w:val="48"/>
          <w:szCs w:val="48"/>
        </w:rPr>
      </w:pPr>
      <w:r>
        <w:rPr>
          <w:rFonts w:hint="eastAsia" w:ascii="黑体" w:hAnsi="黑体" w:eastAsia="黑体" w:cs="黑体"/>
          <w:sz w:val="48"/>
          <w:szCs w:val="48"/>
        </w:rPr>
        <w:t>第四部分　　名词解释</w:t>
      </w: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一、财政拨款收入：单位从同级政府财政部门取得的各类财政拨款。</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六、其他收入：单位取得的除“财政拨款收入”、“事业收入”、“上级补助收入”、“附属单位上缴收入”、“经营收入”等以外的收入。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widowControl/>
        <w:spacing w:line="59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十七、信访救助金：是指对信访疑难案件、贫困信访对象进行的经济救助资金。</w:t>
      </w:r>
    </w:p>
    <w:p>
      <w:pPr>
        <w:widowControl/>
        <w:spacing w:line="59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十八、信访事务：是指反映各级政府用于接待群众来信来访方面的支出。</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102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0270E8"/>
    <w:rsid w:val="0002166A"/>
    <w:rsid w:val="000270E8"/>
    <w:rsid w:val="00032D82"/>
    <w:rsid w:val="0003692E"/>
    <w:rsid w:val="0004372C"/>
    <w:rsid w:val="00057AFD"/>
    <w:rsid w:val="00076410"/>
    <w:rsid w:val="000812D7"/>
    <w:rsid w:val="0008461A"/>
    <w:rsid w:val="000C3324"/>
    <w:rsid w:val="000D6F1F"/>
    <w:rsid w:val="001003F8"/>
    <w:rsid w:val="001023DB"/>
    <w:rsid w:val="001224BE"/>
    <w:rsid w:val="00136BD0"/>
    <w:rsid w:val="00144159"/>
    <w:rsid w:val="001718A8"/>
    <w:rsid w:val="00182842"/>
    <w:rsid w:val="001905F2"/>
    <w:rsid w:val="001951C6"/>
    <w:rsid w:val="001D61B1"/>
    <w:rsid w:val="001F5040"/>
    <w:rsid w:val="002006EB"/>
    <w:rsid w:val="00257F00"/>
    <w:rsid w:val="00260D70"/>
    <w:rsid w:val="00282C7F"/>
    <w:rsid w:val="00287811"/>
    <w:rsid w:val="0029492C"/>
    <w:rsid w:val="002B056E"/>
    <w:rsid w:val="002B3F94"/>
    <w:rsid w:val="002B729D"/>
    <w:rsid w:val="002E6A86"/>
    <w:rsid w:val="00304D04"/>
    <w:rsid w:val="00305B88"/>
    <w:rsid w:val="00315FEB"/>
    <w:rsid w:val="00323968"/>
    <w:rsid w:val="003265A1"/>
    <w:rsid w:val="00334640"/>
    <w:rsid w:val="00340B84"/>
    <w:rsid w:val="00342093"/>
    <w:rsid w:val="00356763"/>
    <w:rsid w:val="00382772"/>
    <w:rsid w:val="00395905"/>
    <w:rsid w:val="003A388F"/>
    <w:rsid w:val="003B1CCC"/>
    <w:rsid w:val="003C38CB"/>
    <w:rsid w:val="003E0EED"/>
    <w:rsid w:val="0042538A"/>
    <w:rsid w:val="0042585F"/>
    <w:rsid w:val="00445CAC"/>
    <w:rsid w:val="00455779"/>
    <w:rsid w:val="00472E19"/>
    <w:rsid w:val="00487869"/>
    <w:rsid w:val="004A5B3A"/>
    <w:rsid w:val="004C2FB7"/>
    <w:rsid w:val="004D5275"/>
    <w:rsid w:val="004E04FC"/>
    <w:rsid w:val="004E73FE"/>
    <w:rsid w:val="004F01B6"/>
    <w:rsid w:val="00503B13"/>
    <w:rsid w:val="00507364"/>
    <w:rsid w:val="005128B2"/>
    <w:rsid w:val="00515E79"/>
    <w:rsid w:val="00546F7C"/>
    <w:rsid w:val="0055097F"/>
    <w:rsid w:val="00555205"/>
    <w:rsid w:val="005622CF"/>
    <w:rsid w:val="00597BDD"/>
    <w:rsid w:val="005A0C2F"/>
    <w:rsid w:val="005B1AE2"/>
    <w:rsid w:val="005D061B"/>
    <w:rsid w:val="005F54A7"/>
    <w:rsid w:val="006228C4"/>
    <w:rsid w:val="0063124F"/>
    <w:rsid w:val="00646397"/>
    <w:rsid w:val="006512DD"/>
    <w:rsid w:val="00656BEF"/>
    <w:rsid w:val="00656D75"/>
    <w:rsid w:val="00657E86"/>
    <w:rsid w:val="00663B5F"/>
    <w:rsid w:val="00673EF7"/>
    <w:rsid w:val="0069449E"/>
    <w:rsid w:val="0069456B"/>
    <w:rsid w:val="006C07F0"/>
    <w:rsid w:val="006C644A"/>
    <w:rsid w:val="006C7D84"/>
    <w:rsid w:val="006D377D"/>
    <w:rsid w:val="007148E8"/>
    <w:rsid w:val="007301F7"/>
    <w:rsid w:val="00733DAA"/>
    <w:rsid w:val="00742BA0"/>
    <w:rsid w:val="00753545"/>
    <w:rsid w:val="00757271"/>
    <w:rsid w:val="00764156"/>
    <w:rsid w:val="007706D7"/>
    <w:rsid w:val="0077307D"/>
    <w:rsid w:val="00773BB1"/>
    <w:rsid w:val="00774322"/>
    <w:rsid w:val="00775AA8"/>
    <w:rsid w:val="00782DFE"/>
    <w:rsid w:val="007879ED"/>
    <w:rsid w:val="00787C5C"/>
    <w:rsid w:val="007A364C"/>
    <w:rsid w:val="007A48A3"/>
    <w:rsid w:val="007A7D77"/>
    <w:rsid w:val="007B3B3C"/>
    <w:rsid w:val="007C029F"/>
    <w:rsid w:val="007C7F49"/>
    <w:rsid w:val="007D2A21"/>
    <w:rsid w:val="00805BCF"/>
    <w:rsid w:val="008117E8"/>
    <w:rsid w:val="008360D9"/>
    <w:rsid w:val="00843461"/>
    <w:rsid w:val="00872946"/>
    <w:rsid w:val="00874DB4"/>
    <w:rsid w:val="0088023A"/>
    <w:rsid w:val="00884EFD"/>
    <w:rsid w:val="008858FB"/>
    <w:rsid w:val="00894B41"/>
    <w:rsid w:val="008A3F28"/>
    <w:rsid w:val="008B1B7B"/>
    <w:rsid w:val="008B5427"/>
    <w:rsid w:val="008B717A"/>
    <w:rsid w:val="008C3E19"/>
    <w:rsid w:val="008E3C31"/>
    <w:rsid w:val="008F1157"/>
    <w:rsid w:val="00903F6B"/>
    <w:rsid w:val="009173F9"/>
    <w:rsid w:val="00934833"/>
    <w:rsid w:val="00975A04"/>
    <w:rsid w:val="00995630"/>
    <w:rsid w:val="009D52BC"/>
    <w:rsid w:val="009E11F9"/>
    <w:rsid w:val="009F546E"/>
    <w:rsid w:val="00A02CCA"/>
    <w:rsid w:val="00A079F0"/>
    <w:rsid w:val="00A33D41"/>
    <w:rsid w:val="00A374C1"/>
    <w:rsid w:val="00A56798"/>
    <w:rsid w:val="00A57BF7"/>
    <w:rsid w:val="00A83D8A"/>
    <w:rsid w:val="00A93E7D"/>
    <w:rsid w:val="00AA260E"/>
    <w:rsid w:val="00AA44CB"/>
    <w:rsid w:val="00AA67CD"/>
    <w:rsid w:val="00AD0364"/>
    <w:rsid w:val="00AD6761"/>
    <w:rsid w:val="00AE600E"/>
    <w:rsid w:val="00B0083B"/>
    <w:rsid w:val="00B110C5"/>
    <w:rsid w:val="00B209B8"/>
    <w:rsid w:val="00B249F3"/>
    <w:rsid w:val="00B710DD"/>
    <w:rsid w:val="00BB2C17"/>
    <w:rsid w:val="00BE5A85"/>
    <w:rsid w:val="00BF5718"/>
    <w:rsid w:val="00C005D0"/>
    <w:rsid w:val="00C1238E"/>
    <w:rsid w:val="00C3106E"/>
    <w:rsid w:val="00C35369"/>
    <w:rsid w:val="00C60278"/>
    <w:rsid w:val="00C60609"/>
    <w:rsid w:val="00C95CC1"/>
    <w:rsid w:val="00CA3F44"/>
    <w:rsid w:val="00CA4EC4"/>
    <w:rsid w:val="00CD1055"/>
    <w:rsid w:val="00CD4306"/>
    <w:rsid w:val="00CE212D"/>
    <w:rsid w:val="00CE4B38"/>
    <w:rsid w:val="00D007F4"/>
    <w:rsid w:val="00D1321A"/>
    <w:rsid w:val="00D30ADF"/>
    <w:rsid w:val="00D6315E"/>
    <w:rsid w:val="00D634E2"/>
    <w:rsid w:val="00D652C2"/>
    <w:rsid w:val="00D74EE2"/>
    <w:rsid w:val="00D83E19"/>
    <w:rsid w:val="00DA00C9"/>
    <w:rsid w:val="00DB200E"/>
    <w:rsid w:val="00DB65F5"/>
    <w:rsid w:val="00DC1CEB"/>
    <w:rsid w:val="00E01C3E"/>
    <w:rsid w:val="00E0588E"/>
    <w:rsid w:val="00E13099"/>
    <w:rsid w:val="00E131CF"/>
    <w:rsid w:val="00E4339F"/>
    <w:rsid w:val="00E629EA"/>
    <w:rsid w:val="00E6777C"/>
    <w:rsid w:val="00E712AF"/>
    <w:rsid w:val="00EB05A3"/>
    <w:rsid w:val="00EC2288"/>
    <w:rsid w:val="00ED38B7"/>
    <w:rsid w:val="00EE051D"/>
    <w:rsid w:val="00EE279A"/>
    <w:rsid w:val="00EF5CE3"/>
    <w:rsid w:val="00F0131A"/>
    <w:rsid w:val="00F01825"/>
    <w:rsid w:val="00F13845"/>
    <w:rsid w:val="00F14C17"/>
    <w:rsid w:val="00F17041"/>
    <w:rsid w:val="00F25911"/>
    <w:rsid w:val="00F335B1"/>
    <w:rsid w:val="00F44937"/>
    <w:rsid w:val="00F61A47"/>
    <w:rsid w:val="00F84422"/>
    <w:rsid w:val="00F95455"/>
    <w:rsid w:val="00FA574D"/>
    <w:rsid w:val="00FB4A83"/>
    <w:rsid w:val="00FE37DB"/>
    <w:rsid w:val="00FE7AD9"/>
    <w:rsid w:val="01164EB5"/>
    <w:rsid w:val="01322275"/>
    <w:rsid w:val="01890437"/>
    <w:rsid w:val="01A51600"/>
    <w:rsid w:val="01A54E51"/>
    <w:rsid w:val="01DC6F05"/>
    <w:rsid w:val="02A3489A"/>
    <w:rsid w:val="02CA138D"/>
    <w:rsid w:val="02F15369"/>
    <w:rsid w:val="033646FC"/>
    <w:rsid w:val="03C75F80"/>
    <w:rsid w:val="0478364D"/>
    <w:rsid w:val="053D4C0D"/>
    <w:rsid w:val="05574726"/>
    <w:rsid w:val="0557532E"/>
    <w:rsid w:val="0576110B"/>
    <w:rsid w:val="071C2B95"/>
    <w:rsid w:val="0799329C"/>
    <w:rsid w:val="08A25C77"/>
    <w:rsid w:val="0A2B7D82"/>
    <w:rsid w:val="0ADC40E9"/>
    <w:rsid w:val="0B451598"/>
    <w:rsid w:val="0BEC73F4"/>
    <w:rsid w:val="0C002829"/>
    <w:rsid w:val="0C392698"/>
    <w:rsid w:val="0CB479A2"/>
    <w:rsid w:val="0CDC31FA"/>
    <w:rsid w:val="0E29067F"/>
    <w:rsid w:val="10BD36F6"/>
    <w:rsid w:val="11BF0649"/>
    <w:rsid w:val="11E84FE8"/>
    <w:rsid w:val="123E3E08"/>
    <w:rsid w:val="161C2DFF"/>
    <w:rsid w:val="16373578"/>
    <w:rsid w:val="171B60E1"/>
    <w:rsid w:val="171D16ED"/>
    <w:rsid w:val="17806C36"/>
    <w:rsid w:val="17A74F62"/>
    <w:rsid w:val="18A47774"/>
    <w:rsid w:val="19BA3C18"/>
    <w:rsid w:val="1A782EAC"/>
    <w:rsid w:val="1B2E6FD8"/>
    <w:rsid w:val="1B442E47"/>
    <w:rsid w:val="1B877D21"/>
    <w:rsid w:val="1BB6020D"/>
    <w:rsid w:val="1C202091"/>
    <w:rsid w:val="1C313675"/>
    <w:rsid w:val="1C4319A9"/>
    <w:rsid w:val="1C7F2FD7"/>
    <w:rsid w:val="1E994F4A"/>
    <w:rsid w:val="1EAF0224"/>
    <w:rsid w:val="1EFB780D"/>
    <w:rsid w:val="20210932"/>
    <w:rsid w:val="202448E0"/>
    <w:rsid w:val="21302EEA"/>
    <w:rsid w:val="23E152D7"/>
    <w:rsid w:val="255344AC"/>
    <w:rsid w:val="255D43C8"/>
    <w:rsid w:val="25AC5BB1"/>
    <w:rsid w:val="25D66715"/>
    <w:rsid w:val="26566BBF"/>
    <w:rsid w:val="26876BDD"/>
    <w:rsid w:val="2714632A"/>
    <w:rsid w:val="27B0539E"/>
    <w:rsid w:val="27EB79D0"/>
    <w:rsid w:val="281E4E5C"/>
    <w:rsid w:val="28377219"/>
    <w:rsid w:val="29365CF8"/>
    <w:rsid w:val="29F94C13"/>
    <w:rsid w:val="2A805789"/>
    <w:rsid w:val="2B4A0E52"/>
    <w:rsid w:val="2B866E5D"/>
    <w:rsid w:val="2BAE5814"/>
    <w:rsid w:val="2BD823D6"/>
    <w:rsid w:val="2C237459"/>
    <w:rsid w:val="2C975890"/>
    <w:rsid w:val="2CA25705"/>
    <w:rsid w:val="2D143D1A"/>
    <w:rsid w:val="2D2357A6"/>
    <w:rsid w:val="2D4359B3"/>
    <w:rsid w:val="2DEF21BB"/>
    <w:rsid w:val="2E4A2F05"/>
    <w:rsid w:val="2E60467B"/>
    <w:rsid w:val="2ECC1061"/>
    <w:rsid w:val="2FA476AD"/>
    <w:rsid w:val="303F7540"/>
    <w:rsid w:val="30CE5AAA"/>
    <w:rsid w:val="31DD00BF"/>
    <w:rsid w:val="3293174C"/>
    <w:rsid w:val="32BB38D4"/>
    <w:rsid w:val="32C9376D"/>
    <w:rsid w:val="33780472"/>
    <w:rsid w:val="33AF0905"/>
    <w:rsid w:val="34005AEE"/>
    <w:rsid w:val="355932F4"/>
    <w:rsid w:val="35611882"/>
    <w:rsid w:val="36746FC3"/>
    <w:rsid w:val="368763AE"/>
    <w:rsid w:val="382C08D2"/>
    <w:rsid w:val="3843079C"/>
    <w:rsid w:val="38A87371"/>
    <w:rsid w:val="395D59E7"/>
    <w:rsid w:val="39A320A5"/>
    <w:rsid w:val="39A93932"/>
    <w:rsid w:val="3A915562"/>
    <w:rsid w:val="3AB67CA0"/>
    <w:rsid w:val="3B8D4765"/>
    <w:rsid w:val="3C000DBA"/>
    <w:rsid w:val="3D5D45C2"/>
    <w:rsid w:val="3DC045D3"/>
    <w:rsid w:val="3E504FFB"/>
    <w:rsid w:val="3E9C47F6"/>
    <w:rsid w:val="3F337878"/>
    <w:rsid w:val="41242965"/>
    <w:rsid w:val="429A1797"/>
    <w:rsid w:val="42B851D6"/>
    <w:rsid w:val="42E211E0"/>
    <w:rsid w:val="435671EA"/>
    <w:rsid w:val="440809E9"/>
    <w:rsid w:val="442407A6"/>
    <w:rsid w:val="44805EA1"/>
    <w:rsid w:val="450D42E9"/>
    <w:rsid w:val="45710696"/>
    <w:rsid w:val="46142B1B"/>
    <w:rsid w:val="471F7268"/>
    <w:rsid w:val="47E60DD0"/>
    <w:rsid w:val="48735039"/>
    <w:rsid w:val="492C684B"/>
    <w:rsid w:val="494324C3"/>
    <w:rsid w:val="49500594"/>
    <w:rsid w:val="49E7604E"/>
    <w:rsid w:val="4A554545"/>
    <w:rsid w:val="4B827834"/>
    <w:rsid w:val="4BE803DA"/>
    <w:rsid w:val="4BF67CDD"/>
    <w:rsid w:val="4D143A74"/>
    <w:rsid w:val="4D603DD6"/>
    <w:rsid w:val="4EBF010F"/>
    <w:rsid w:val="4F471EB0"/>
    <w:rsid w:val="4FC46A87"/>
    <w:rsid w:val="4FFA2F63"/>
    <w:rsid w:val="50757C50"/>
    <w:rsid w:val="51331326"/>
    <w:rsid w:val="51740A7F"/>
    <w:rsid w:val="51C96242"/>
    <w:rsid w:val="53F324C0"/>
    <w:rsid w:val="54207820"/>
    <w:rsid w:val="54F46F60"/>
    <w:rsid w:val="55A37BEA"/>
    <w:rsid w:val="567B178C"/>
    <w:rsid w:val="57846959"/>
    <w:rsid w:val="578E6A87"/>
    <w:rsid w:val="58904840"/>
    <w:rsid w:val="59397417"/>
    <w:rsid w:val="5AC2203A"/>
    <w:rsid w:val="5C4C138D"/>
    <w:rsid w:val="5C5214F6"/>
    <w:rsid w:val="5CBB3334"/>
    <w:rsid w:val="5D115FAF"/>
    <w:rsid w:val="5DB6140B"/>
    <w:rsid w:val="5DDD0A1C"/>
    <w:rsid w:val="5F490BEC"/>
    <w:rsid w:val="5FFD7FEA"/>
    <w:rsid w:val="60F54FA3"/>
    <w:rsid w:val="62E75A72"/>
    <w:rsid w:val="64571880"/>
    <w:rsid w:val="649125B6"/>
    <w:rsid w:val="65291DD0"/>
    <w:rsid w:val="652F4C1A"/>
    <w:rsid w:val="66127130"/>
    <w:rsid w:val="666D37F1"/>
    <w:rsid w:val="671F687E"/>
    <w:rsid w:val="680F4B66"/>
    <w:rsid w:val="68154ACD"/>
    <w:rsid w:val="6A047A2A"/>
    <w:rsid w:val="6A515F0D"/>
    <w:rsid w:val="6A6B4A48"/>
    <w:rsid w:val="6AAD25E7"/>
    <w:rsid w:val="6AFC4FFA"/>
    <w:rsid w:val="6B554341"/>
    <w:rsid w:val="6B914506"/>
    <w:rsid w:val="6CF47913"/>
    <w:rsid w:val="6DDF6A58"/>
    <w:rsid w:val="6DE21C5B"/>
    <w:rsid w:val="6F3831C3"/>
    <w:rsid w:val="6FF21DC6"/>
    <w:rsid w:val="70331F35"/>
    <w:rsid w:val="70753482"/>
    <w:rsid w:val="70982128"/>
    <w:rsid w:val="70A81899"/>
    <w:rsid w:val="70AF2324"/>
    <w:rsid w:val="72640DCA"/>
    <w:rsid w:val="73194D05"/>
    <w:rsid w:val="732F07EA"/>
    <w:rsid w:val="733E37A8"/>
    <w:rsid w:val="73A83B0E"/>
    <w:rsid w:val="744D3EF9"/>
    <w:rsid w:val="74794411"/>
    <w:rsid w:val="75867C40"/>
    <w:rsid w:val="75AC5DE7"/>
    <w:rsid w:val="76432199"/>
    <w:rsid w:val="764842D5"/>
    <w:rsid w:val="76F44829"/>
    <w:rsid w:val="777515A6"/>
    <w:rsid w:val="77A267C0"/>
    <w:rsid w:val="77F87912"/>
    <w:rsid w:val="785D756A"/>
    <w:rsid w:val="78882278"/>
    <w:rsid w:val="78AD2696"/>
    <w:rsid w:val="78B118A6"/>
    <w:rsid w:val="78EF794A"/>
    <w:rsid w:val="79135044"/>
    <w:rsid w:val="7A30267B"/>
    <w:rsid w:val="7A7D0F99"/>
    <w:rsid w:val="7C3C70C8"/>
    <w:rsid w:val="7C59061D"/>
    <w:rsid w:val="7EFD4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7">
    <w:name w:val="FollowedHyperlink"/>
    <w:unhideWhenUsed/>
    <w:qFormat/>
    <w:uiPriority w:val="99"/>
    <w:rPr>
      <w:color w:val="800080"/>
      <w:u w:val="single"/>
    </w:rPr>
  </w:style>
  <w:style w:type="character" w:styleId="8">
    <w:name w:val="Hyperlink"/>
    <w:unhideWhenUsed/>
    <w:qFormat/>
    <w:uiPriority w:val="99"/>
    <w:rPr>
      <w:color w:val="0000FF"/>
      <w:u w:val="single"/>
    </w:rPr>
  </w:style>
  <w:style w:type="table" w:styleId="10">
    <w:name w:val="Table Grid"/>
    <w:basedOn w:val="9"/>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21"/>
    <w:qFormat/>
    <w:uiPriority w:val="0"/>
    <w:rPr>
      <w:rFonts w:hint="eastAsia" w:ascii="宋体" w:hAnsi="宋体" w:eastAsia="宋体" w:cs="宋体"/>
      <w:color w:val="000000"/>
      <w:sz w:val="22"/>
      <w:szCs w:val="22"/>
      <w:u w:val="none"/>
    </w:rPr>
  </w:style>
  <w:style w:type="character" w:customStyle="1" w:styleId="14">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5F9912-56D8-4905-A0AA-74441E630146}">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1961</Words>
  <Characters>11184</Characters>
  <Lines>93</Lines>
  <Paragraphs>26</Paragraphs>
  <TotalTime>1</TotalTime>
  <ScaleCrop>false</ScaleCrop>
  <LinksUpToDate>false</LinksUpToDate>
  <CharactersWithSpaces>13119</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管理者</dc:creator>
  <cp:lastModifiedBy>jylx</cp:lastModifiedBy>
  <cp:lastPrinted>2018-10-19T06:41:00Z</cp:lastPrinted>
  <dcterms:modified xsi:type="dcterms:W3CDTF">2018-10-23T00:44:17Z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