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723"/>
        <w:jc w:val="center"/>
        <w:outlineLvl w:val="0"/>
        <w:rPr>
          <w:b/>
          <w:sz w:val="36"/>
          <w:szCs w:val="36"/>
        </w:rPr>
      </w:pPr>
      <w:bookmarkStart w:id="3" w:name="_GoBack"/>
      <w:bookmarkEnd w:id="3"/>
      <w:r>
        <w:rPr>
          <w:rFonts w:hint="eastAsia"/>
          <w:b/>
          <w:sz w:val="36"/>
          <w:szCs w:val="36"/>
        </w:rPr>
        <w:t>《建设项目环境影响报告表》编制说明</w:t>
      </w:r>
    </w:p>
    <w:p>
      <w:pPr>
        <w:adjustRightInd w:val="0"/>
        <w:snapToGrid w:val="0"/>
        <w:ind w:firstLine="723"/>
        <w:jc w:val="center"/>
        <w:outlineLvl w:val="0"/>
        <w:rPr>
          <w:b/>
          <w:sz w:val="36"/>
          <w:szCs w:val="36"/>
        </w:rPr>
      </w:pPr>
    </w:p>
    <w:p>
      <w:pPr>
        <w:adjustRightInd w:val="0"/>
        <w:snapToGrid w:val="0"/>
        <w:spacing w:line="600" w:lineRule="exact"/>
        <w:ind w:firstLine="560"/>
        <w:rPr>
          <w:sz w:val="28"/>
          <w:szCs w:val="28"/>
        </w:rPr>
      </w:pPr>
      <w:r>
        <w:rPr>
          <w:rFonts w:hint="eastAsia"/>
          <w:sz w:val="28"/>
          <w:szCs w:val="28"/>
        </w:rPr>
        <w:t>《建设项目环境影响报告表》由具有从事环境影响评价工作资质的单位编制。</w:t>
      </w:r>
    </w:p>
    <w:p>
      <w:pPr>
        <w:adjustRightInd w:val="0"/>
        <w:snapToGrid w:val="0"/>
        <w:spacing w:line="600" w:lineRule="exact"/>
        <w:ind w:left="567" w:firstLine="560"/>
        <w:rPr>
          <w:sz w:val="28"/>
          <w:szCs w:val="28"/>
        </w:rPr>
      </w:pPr>
      <w:r>
        <w:rPr>
          <w:sz w:val="28"/>
          <w:szCs w:val="28"/>
        </w:rPr>
        <w:t>1</w:t>
      </w:r>
      <w:r>
        <w:rPr>
          <w:rFonts w:hint="eastAsia"/>
          <w:sz w:val="28"/>
          <w:szCs w:val="28"/>
        </w:rPr>
        <w:t>、项目名称</w:t>
      </w:r>
      <w:r>
        <w:rPr>
          <w:sz w:val="28"/>
          <w:szCs w:val="28"/>
        </w:rPr>
        <w:t>----</w:t>
      </w:r>
      <w:r>
        <w:rPr>
          <w:rFonts w:hint="eastAsia"/>
          <w:sz w:val="28"/>
          <w:szCs w:val="28"/>
        </w:rPr>
        <w:t>指项目立项批复时的名称，应不超过</w:t>
      </w:r>
      <w:r>
        <w:rPr>
          <w:sz w:val="28"/>
          <w:szCs w:val="28"/>
        </w:rPr>
        <w:t>30</w:t>
      </w:r>
      <w:r>
        <w:rPr>
          <w:rFonts w:hint="eastAsia"/>
          <w:sz w:val="28"/>
          <w:szCs w:val="28"/>
        </w:rPr>
        <w:t>个字（两个英文字段作一个汉字）。</w:t>
      </w:r>
    </w:p>
    <w:p>
      <w:pPr>
        <w:adjustRightInd w:val="0"/>
        <w:snapToGrid w:val="0"/>
        <w:spacing w:line="600" w:lineRule="exact"/>
        <w:ind w:left="567" w:firstLine="560"/>
        <w:rPr>
          <w:sz w:val="28"/>
          <w:szCs w:val="28"/>
        </w:rPr>
      </w:pPr>
      <w:r>
        <w:rPr>
          <w:sz w:val="28"/>
          <w:szCs w:val="28"/>
        </w:rPr>
        <w:t>2</w:t>
      </w:r>
      <w:r>
        <w:rPr>
          <w:rFonts w:hint="eastAsia"/>
          <w:sz w:val="28"/>
          <w:szCs w:val="28"/>
        </w:rPr>
        <w:t>、建设地点</w:t>
      </w:r>
      <w:r>
        <w:rPr>
          <w:sz w:val="28"/>
          <w:szCs w:val="28"/>
        </w:rPr>
        <w:t>----</w:t>
      </w:r>
      <w:r>
        <w:rPr>
          <w:rFonts w:hint="eastAsia"/>
          <w:sz w:val="28"/>
          <w:szCs w:val="28"/>
        </w:rPr>
        <w:t>指项目所在地详细地址、公路、铁路应填写起止地点。</w:t>
      </w:r>
    </w:p>
    <w:p>
      <w:pPr>
        <w:adjustRightInd w:val="0"/>
        <w:snapToGrid w:val="0"/>
        <w:spacing w:line="600" w:lineRule="exact"/>
        <w:ind w:left="567" w:firstLine="560"/>
        <w:rPr>
          <w:sz w:val="28"/>
          <w:szCs w:val="28"/>
        </w:rPr>
      </w:pPr>
      <w:r>
        <w:rPr>
          <w:sz w:val="28"/>
          <w:szCs w:val="28"/>
        </w:rPr>
        <w:t>3</w:t>
      </w:r>
      <w:r>
        <w:rPr>
          <w:rFonts w:hint="eastAsia"/>
          <w:sz w:val="28"/>
          <w:szCs w:val="28"/>
        </w:rPr>
        <w:t>、行业类别</w:t>
      </w:r>
      <w:r>
        <w:rPr>
          <w:sz w:val="28"/>
          <w:szCs w:val="28"/>
        </w:rPr>
        <w:t>----</w:t>
      </w:r>
      <w:r>
        <w:rPr>
          <w:rFonts w:hint="eastAsia"/>
          <w:sz w:val="28"/>
          <w:szCs w:val="28"/>
        </w:rPr>
        <w:t>按国标填写。</w:t>
      </w:r>
    </w:p>
    <w:p>
      <w:pPr>
        <w:adjustRightInd w:val="0"/>
        <w:snapToGrid w:val="0"/>
        <w:spacing w:line="600" w:lineRule="exact"/>
        <w:ind w:left="567" w:firstLine="560"/>
        <w:rPr>
          <w:sz w:val="28"/>
          <w:szCs w:val="28"/>
        </w:rPr>
      </w:pPr>
      <w:r>
        <w:rPr>
          <w:sz w:val="28"/>
          <w:szCs w:val="28"/>
        </w:rPr>
        <w:t>4</w:t>
      </w:r>
      <w:r>
        <w:rPr>
          <w:rFonts w:hint="eastAsia"/>
          <w:sz w:val="28"/>
          <w:szCs w:val="28"/>
        </w:rPr>
        <w:t>、总投资</w:t>
      </w:r>
      <w:r>
        <w:rPr>
          <w:sz w:val="28"/>
          <w:szCs w:val="28"/>
        </w:rPr>
        <w:t>----</w:t>
      </w:r>
      <w:r>
        <w:rPr>
          <w:rFonts w:hint="eastAsia"/>
          <w:sz w:val="28"/>
          <w:szCs w:val="28"/>
        </w:rPr>
        <w:t>指项目投资总额。</w:t>
      </w:r>
    </w:p>
    <w:p>
      <w:pPr>
        <w:adjustRightInd w:val="0"/>
        <w:snapToGrid w:val="0"/>
        <w:spacing w:line="600" w:lineRule="exact"/>
        <w:ind w:left="567" w:firstLine="560"/>
        <w:rPr>
          <w:sz w:val="28"/>
          <w:szCs w:val="28"/>
        </w:rPr>
      </w:pPr>
      <w:r>
        <w:rPr>
          <w:sz w:val="28"/>
          <w:szCs w:val="28"/>
        </w:rPr>
        <w:t>5</w:t>
      </w:r>
      <w:r>
        <w:rPr>
          <w:rFonts w:hint="eastAsia"/>
          <w:sz w:val="28"/>
          <w:szCs w:val="28"/>
        </w:rPr>
        <w:t>、主要环境保护目标</w:t>
      </w:r>
      <w:r>
        <w:rPr>
          <w:sz w:val="28"/>
          <w:szCs w:val="28"/>
        </w:rPr>
        <w:t>----</w:t>
      </w:r>
      <w:r>
        <w:rPr>
          <w:rFonts w:hint="eastAsia"/>
          <w:sz w:val="28"/>
          <w:szCs w:val="28"/>
        </w:rPr>
        <w:t>指项目区周围一定范围内集中居民住宅、学校、医院、保护文物、风景名胜区、水源地和生态敏感点等，应尽可能给出保护目标、性质、规模和距厂界距离等。</w:t>
      </w:r>
    </w:p>
    <w:p>
      <w:pPr>
        <w:adjustRightInd w:val="0"/>
        <w:snapToGrid w:val="0"/>
        <w:spacing w:line="600" w:lineRule="exact"/>
        <w:ind w:left="567" w:firstLine="560"/>
        <w:rPr>
          <w:sz w:val="28"/>
          <w:szCs w:val="28"/>
        </w:rPr>
      </w:pPr>
      <w:r>
        <w:rPr>
          <w:sz w:val="28"/>
          <w:szCs w:val="28"/>
        </w:rPr>
        <w:t>6</w:t>
      </w:r>
      <w:r>
        <w:rPr>
          <w:rFonts w:hint="eastAsia"/>
          <w:sz w:val="28"/>
          <w:szCs w:val="28"/>
        </w:rPr>
        <w:t>、结论与建议</w:t>
      </w:r>
      <w:r>
        <w:rPr>
          <w:sz w:val="28"/>
          <w:szCs w:val="28"/>
        </w:rPr>
        <w:t>----</w:t>
      </w:r>
      <w:r>
        <w:rPr>
          <w:rFonts w:hint="eastAsia"/>
          <w:sz w:val="28"/>
          <w:szCs w:val="28"/>
        </w:rPr>
        <w:t>给出本项目清洁生产、达标排放和总量控制的分析结论，确定污染防治措施的有效性，说明本项目对环境造成的影响，给出建设项目环境可行性的明确结论。同时提出减少环境影响的其它建议。</w:t>
      </w:r>
    </w:p>
    <w:p>
      <w:pPr>
        <w:adjustRightInd w:val="0"/>
        <w:snapToGrid w:val="0"/>
        <w:spacing w:line="600" w:lineRule="exact"/>
        <w:ind w:left="567" w:firstLine="560"/>
        <w:rPr>
          <w:sz w:val="28"/>
          <w:szCs w:val="28"/>
        </w:rPr>
      </w:pPr>
      <w:r>
        <w:rPr>
          <w:sz w:val="28"/>
          <w:szCs w:val="28"/>
        </w:rPr>
        <w:t>7</w:t>
      </w:r>
      <w:r>
        <w:rPr>
          <w:rFonts w:hint="eastAsia"/>
          <w:sz w:val="28"/>
          <w:szCs w:val="28"/>
        </w:rPr>
        <w:t>、预审意见</w:t>
      </w:r>
      <w:r>
        <w:rPr>
          <w:sz w:val="28"/>
          <w:szCs w:val="28"/>
        </w:rPr>
        <w:t>----</w:t>
      </w:r>
      <w:r>
        <w:rPr>
          <w:rFonts w:hint="eastAsia"/>
          <w:sz w:val="28"/>
          <w:szCs w:val="28"/>
        </w:rPr>
        <w:t>由行业主管部门填写答复意见，无主管部门项目，可不填。</w:t>
      </w:r>
    </w:p>
    <w:p>
      <w:pPr>
        <w:adjustRightInd w:val="0"/>
        <w:snapToGrid w:val="0"/>
        <w:spacing w:line="600" w:lineRule="exact"/>
        <w:ind w:left="567" w:firstLine="560"/>
      </w:pPr>
      <w:r>
        <w:rPr>
          <w:sz w:val="28"/>
          <w:szCs w:val="28"/>
        </w:rPr>
        <w:t>8</w:t>
      </w:r>
      <w:r>
        <w:rPr>
          <w:rFonts w:hint="eastAsia"/>
          <w:sz w:val="28"/>
          <w:szCs w:val="28"/>
        </w:rPr>
        <w:t>、审批意见</w:t>
      </w:r>
      <w:r>
        <w:rPr>
          <w:sz w:val="28"/>
          <w:szCs w:val="28"/>
        </w:rPr>
        <w:t>----</w:t>
      </w:r>
      <w:r>
        <w:rPr>
          <w:rFonts w:hint="eastAsia"/>
          <w:sz w:val="28"/>
          <w:szCs w:val="28"/>
        </w:rPr>
        <w:t>由负责审批该项目的环境保护行政主管部门批复。</w:t>
      </w:r>
    </w:p>
    <w:p>
      <w:pPr>
        <w:ind w:firstLine="480"/>
      </w:pPr>
      <w:r>
        <w:br w:type="page"/>
      </w:r>
    </w:p>
    <w:p>
      <w:pPr>
        <w:spacing w:line="240" w:lineRule="auto"/>
        <w:ind w:left="-120" w:leftChars="-50" w:firstLine="0" w:firstLineChars="0"/>
        <w:rPr>
          <w:b/>
          <w:sz w:val="30"/>
          <w:szCs w:val="30"/>
        </w:rPr>
      </w:pPr>
      <w:r>
        <w:rPr>
          <w:rFonts w:hint="eastAsia"/>
          <w:b/>
          <w:sz w:val="30"/>
          <w:szCs w:val="30"/>
        </w:rPr>
        <w:t>建设项目基本情况</w:t>
      </w:r>
    </w:p>
    <w:tbl>
      <w:tblPr>
        <w:tblStyle w:val="20"/>
        <w:tblW w:w="919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290"/>
        <w:gridCol w:w="1495"/>
        <w:gridCol w:w="539"/>
        <w:gridCol w:w="681"/>
        <w:gridCol w:w="103"/>
        <w:gridCol w:w="435"/>
        <w:gridCol w:w="96"/>
        <w:gridCol w:w="425"/>
        <w:gridCol w:w="235"/>
        <w:gridCol w:w="427"/>
        <w:gridCol w:w="497"/>
        <w:gridCol w:w="1203"/>
        <w:gridCol w:w="177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tcBorders>
              <w:top w:val="single" w:color="auto" w:sz="12" w:space="0"/>
            </w:tcBorders>
            <w:vAlign w:val="center"/>
          </w:tcPr>
          <w:p>
            <w:pPr>
              <w:spacing w:line="480" w:lineRule="exact"/>
              <w:ind w:firstLine="0" w:firstLineChars="0"/>
              <w:jc w:val="center"/>
            </w:pPr>
            <w:r>
              <w:t>项目名称</w:t>
            </w:r>
          </w:p>
        </w:tc>
        <w:tc>
          <w:tcPr>
            <w:tcW w:w="7909" w:type="dxa"/>
            <w:gridSpan w:val="12"/>
            <w:tcBorders>
              <w:top w:val="single" w:color="auto" w:sz="12" w:space="0"/>
            </w:tcBorders>
            <w:vAlign w:val="center"/>
          </w:tcPr>
          <w:p>
            <w:pPr>
              <w:spacing w:line="480" w:lineRule="exact"/>
              <w:ind w:firstLine="0" w:firstLineChars="0"/>
              <w:jc w:val="center"/>
            </w:pPr>
            <w:r>
              <w:t>年产10万平方米建筑装饰用铝单板项目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建设单位</w:t>
            </w:r>
          </w:p>
        </w:tc>
        <w:tc>
          <w:tcPr>
            <w:tcW w:w="7909" w:type="dxa"/>
            <w:gridSpan w:val="12"/>
            <w:vAlign w:val="center"/>
          </w:tcPr>
          <w:p>
            <w:pPr>
              <w:spacing w:line="480" w:lineRule="exact"/>
              <w:ind w:firstLine="0" w:firstLineChars="0"/>
              <w:jc w:val="center"/>
            </w:pPr>
            <w:r>
              <w:t>河南嘉色铝业有限公司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法人代表</w:t>
            </w:r>
          </w:p>
        </w:tc>
        <w:tc>
          <w:tcPr>
            <w:tcW w:w="2034" w:type="dxa"/>
            <w:gridSpan w:val="2"/>
            <w:vAlign w:val="center"/>
          </w:tcPr>
          <w:p>
            <w:pPr>
              <w:spacing w:line="480" w:lineRule="exact"/>
              <w:ind w:firstLine="0" w:firstLineChars="0"/>
              <w:jc w:val="center"/>
            </w:pPr>
            <w:r>
              <w:rPr>
                <w:rFonts w:hint="eastAsia"/>
              </w:rPr>
              <w:t>刘冲</w:t>
            </w:r>
          </w:p>
        </w:tc>
        <w:tc>
          <w:tcPr>
            <w:tcW w:w="1740" w:type="dxa"/>
            <w:gridSpan w:val="5"/>
            <w:vAlign w:val="center"/>
          </w:tcPr>
          <w:p>
            <w:pPr>
              <w:spacing w:line="480" w:lineRule="exact"/>
              <w:ind w:firstLine="0" w:firstLineChars="0"/>
              <w:jc w:val="center"/>
            </w:pPr>
            <w:r>
              <w:t>联系人</w:t>
            </w:r>
          </w:p>
        </w:tc>
        <w:tc>
          <w:tcPr>
            <w:tcW w:w="4135" w:type="dxa"/>
            <w:gridSpan w:val="5"/>
            <w:vAlign w:val="center"/>
          </w:tcPr>
          <w:p>
            <w:pPr>
              <w:spacing w:line="480" w:lineRule="exact"/>
              <w:ind w:firstLine="0" w:firstLineChars="0"/>
              <w:jc w:val="center"/>
            </w:pPr>
            <w:r>
              <w:rPr>
                <w:rFonts w:hint="eastAsia"/>
              </w:rPr>
              <w:t>刘明喜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通讯地址</w:t>
            </w:r>
          </w:p>
        </w:tc>
        <w:tc>
          <w:tcPr>
            <w:tcW w:w="7909" w:type="dxa"/>
            <w:gridSpan w:val="12"/>
            <w:vAlign w:val="center"/>
          </w:tcPr>
          <w:p>
            <w:pPr>
              <w:spacing w:line="480" w:lineRule="exact"/>
              <w:ind w:firstLine="0" w:firstLineChars="0"/>
              <w:jc w:val="center"/>
            </w:pPr>
            <w:r>
              <w:rPr>
                <w:rFonts w:hint="eastAsia"/>
              </w:rPr>
              <w:t>河南省新乡市封丘县留光镇农民创业园04号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联系电话</w:t>
            </w:r>
          </w:p>
        </w:tc>
        <w:tc>
          <w:tcPr>
            <w:tcW w:w="2034" w:type="dxa"/>
            <w:gridSpan w:val="2"/>
            <w:vAlign w:val="center"/>
          </w:tcPr>
          <w:p>
            <w:pPr>
              <w:spacing w:line="480" w:lineRule="exact"/>
              <w:ind w:firstLine="0" w:firstLineChars="0"/>
              <w:jc w:val="center"/>
            </w:pPr>
            <w:r>
              <w:rPr>
                <w:rFonts w:hint="eastAsia"/>
              </w:rPr>
              <w:t>17803835869</w:t>
            </w:r>
          </w:p>
        </w:tc>
        <w:tc>
          <w:tcPr>
            <w:tcW w:w="784" w:type="dxa"/>
            <w:gridSpan w:val="2"/>
            <w:vAlign w:val="center"/>
          </w:tcPr>
          <w:p>
            <w:pPr>
              <w:spacing w:line="480" w:lineRule="exact"/>
              <w:ind w:firstLine="0" w:firstLineChars="0"/>
              <w:jc w:val="center"/>
            </w:pPr>
            <w:r>
              <w:t>传真</w:t>
            </w:r>
          </w:p>
        </w:tc>
        <w:tc>
          <w:tcPr>
            <w:tcW w:w="531" w:type="dxa"/>
            <w:gridSpan w:val="2"/>
            <w:vAlign w:val="center"/>
          </w:tcPr>
          <w:p>
            <w:pPr>
              <w:spacing w:line="480" w:lineRule="exact"/>
              <w:ind w:firstLine="0" w:firstLineChars="0"/>
              <w:jc w:val="center"/>
            </w:pPr>
            <w:r>
              <w:t>/</w:t>
            </w:r>
          </w:p>
        </w:tc>
        <w:tc>
          <w:tcPr>
            <w:tcW w:w="1584" w:type="dxa"/>
            <w:gridSpan w:val="4"/>
            <w:vAlign w:val="center"/>
          </w:tcPr>
          <w:p>
            <w:pPr>
              <w:spacing w:line="480" w:lineRule="exact"/>
              <w:ind w:firstLine="0" w:firstLineChars="0"/>
              <w:jc w:val="center"/>
            </w:pPr>
            <w:r>
              <w:t>邮政编码</w:t>
            </w:r>
          </w:p>
        </w:tc>
        <w:tc>
          <w:tcPr>
            <w:tcW w:w="2976" w:type="dxa"/>
            <w:gridSpan w:val="2"/>
            <w:vAlign w:val="center"/>
          </w:tcPr>
          <w:p>
            <w:pPr>
              <w:spacing w:line="48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建设地点</w:t>
            </w:r>
          </w:p>
        </w:tc>
        <w:tc>
          <w:tcPr>
            <w:tcW w:w="7909" w:type="dxa"/>
            <w:gridSpan w:val="12"/>
            <w:vAlign w:val="center"/>
          </w:tcPr>
          <w:p>
            <w:pPr>
              <w:spacing w:line="480" w:lineRule="exact"/>
              <w:ind w:firstLine="0" w:firstLineChars="0"/>
              <w:jc w:val="center"/>
            </w:pPr>
            <w:r>
              <w:t>河南省新乡市封丘县留光镇农民创业园04号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立项审批</w:t>
            </w:r>
          </w:p>
          <w:p>
            <w:pPr>
              <w:spacing w:line="480" w:lineRule="exact"/>
              <w:ind w:firstLine="0" w:firstLineChars="0"/>
              <w:jc w:val="center"/>
            </w:pPr>
            <w:r>
              <w:t>部门</w:t>
            </w:r>
          </w:p>
        </w:tc>
        <w:tc>
          <w:tcPr>
            <w:tcW w:w="2715" w:type="dxa"/>
            <w:gridSpan w:val="3"/>
            <w:vAlign w:val="center"/>
          </w:tcPr>
          <w:p>
            <w:pPr>
              <w:spacing w:line="480" w:lineRule="exact"/>
              <w:ind w:firstLine="0" w:firstLineChars="0"/>
              <w:jc w:val="center"/>
            </w:pPr>
            <w:r>
              <w:rPr>
                <w:rFonts w:hint="eastAsia"/>
              </w:rPr>
              <w:t>封丘县发展和改革委员会</w:t>
            </w:r>
          </w:p>
        </w:tc>
        <w:tc>
          <w:tcPr>
            <w:tcW w:w="1294" w:type="dxa"/>
            <w:gridSpan w:val="5"/>
            <w:vAlign w:val="center"/>
          </w:tcPr>
          <w:p>
            <w:pPr>
              <w:spacing w:line="480" w:lineRule="exact"/>
              <w:ind w:firstLine="0" w:firstLineChars="0"/>
              <w:jc w:val="center"/>
            </w:pPr>
            <w:r>
              <w:t>项目代码</w:t>
            </w:r>
          </w:p>
        </w:tc>
        <w:tc>
          <w:tcPr>
            <w:tcW w:w="3900" w:type="dxa"/>
            <w:gridSpan w:val="4"/>
            <w:vAlign w:val="center"/>
          </w:tcPr>
          <w:p>
            <w:pPr>
              <w:spacing w:line="480" w:lineRule="exact"/>
              <w:ind w:firstLine="0" w:firstLineChars="0"/>
              <w:jc w:val="center"/>
            </w:pPr>
            <w:r>
              <w:t>2020</w:t>
            </w:r>
            <w:r>
              <w:rPr>
                <w:rFonts w:hint="eastAsia"/>
              </w:rPr>
              <w:t>-</w:t>
            </w:r>
            <w:r>
              <w:t>410727</w:t>
            </w:r>
            <w:r>
              <w:rPr>
                <w:rFonts w:hint="eastAsia"/>
              </w:rPr>
              <w:t>-</w:t>
            </w:r>
            <w:r>
              <w:t>50</w:t>
            </w:r>
            <w:r>
              <w:rPr>
                <w:rFonts w:hint="eastAsia"/>
              </w:rPr>
              <w:t>-</w:t>
            </w:r>
            <w:r>
              <w:t>03</w:t>
            </w:r>
            <w:r>
              <w:rPr>
                <w:rFonts w:hint="eastAsia"/>
              </w:rPr>
              <w:t>-</w:t>
            </w:r>
            <w:r>
              <w:t>000675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建设性质</w:t>
            </w:r>
          </w:p>
        </w:tc>
        <w:tc>
          <w:tcPr>
            <w:tcW w:w="2715" w:type="dxa"/>
            <w:gridSpan w:val="3"/>
            <w:vAlign w:val="center"/>
          </w:tcPr>
          <w:p>
            <w:pPr>
              <w:spacing w:line="480" w:lineRule="exact"/>
              <w:ind w:firstLine="0" w:firstLineChars="0"/>
              <w:jc w:val="center"/>
              <w:rPr>
                <w:b/>
              </w:rPr>
            </w:pPr>
            <w:r>
              <w:t>新建■改扩建□技改□</w:t>
            </w:r>
          </w:p>
        </w:tc>
        <w:tc>
          <w:tcPr>
            <w:tcW w:w="1294" w:type="dxa"/>
            <w:gridSpan w:val="5"/>
            <w:vAlign w:val="center"/>
          </w:tcPr>
          <w:p>
            <w:pPr>
              <w:spacing w:line="480" w:lineRule="exact"/>
              <w:ind w:firstLine="0" w:firstLineChars="0"/>
              <w:jc w:val="center"/>
            </w:pPr>
            <w:r>
              <w:t>行业类别及代码</w:t>
            </w:r>
          </w:p>
        </w:tc>
        <w:tc>
          <w:tcPr>
            <w:tcW w:w="3900" w:type="dxa"/>
            <w:gridSpan w:val="4"/>
            <w:vAlign w:val="center"/>
          </w:tcPr>
          <w:p>
            <w:pPr>
              <w:pStyle w:val="17"/>
              <w:spacing w:line="480" w:lineRule="exact"/>
              <w:ind w:firstLine="480"/>
              <w:jc w:val="center"/>
            </w:pPr>
            <w:r>
              <w:t>C3311</w:t>
            </w:r>
            <w:r>
              <w:rPr>
                <w:rFonts w:hint="eastAsia"/>
              </w:rPr>
              <w:t>金属结构制造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占地面积</w:t>
            </w:r>
          </w:p>
          <w:p>
            <w:pPr>
              <w:spacing w:line="480" w:lineRule="exact"/>
              <w:ind w:firstLine="0" w:firstLineChars="0"/>
              <w:jc w:val="center"/>
            </w:pPr>
            <w:r>
              <w:t>（m</w:t>
            </w:r>
            <w:r>
              <w:rPr>
                <w:vertAlign w:val="superscript"/>
              </w:rPr>
              <w:t>2</w:t>
            </w:r>
            <w:r>
              <w:t>）</w:t>
            </w:r>
          </w:p>
        </w:tc>
        <w:tc>
          <w:tcPr>
            <w:tcW w:w="2715" w:type="dxa"/>
            <w:gridSpan w:val="3"/>
            <w:vAlign w:val="center"/>
          </w:tcPr>
          <w:p>
            <w:pPr>
              <w:spacing w:line="480" w:lineRule="exact"/>
              <w:ind w:firstLine="0" w:firstLineChars="0"/>
              <w:jc w:val="center"/>
            </w:pPr>
            <w:r>
              <w:t>4000</w:t>
            </w:r>
          </w:p>
        </w:tc>
        <w:tc>
          <w:tcPr>
            <w:tcW w:w="1294" w:type="dxa"/>
            <w:gridSpan w:val="5"/>
            <w:vAlign w:val="center"/>
          </w:tcPr>
          <w:p>
            <w:pPr>
              <w:spacing w:line="480" w:lineRule="exact"/>
              <w:ind w:firstLine="0" w:firstLineChars="0"/>
              <w:jc w:val="center"/>
            </w:pPr>
            <w:r>
              <w:t>建筑面积</w:t>
            </w:r>
          </w:p>
          <w:p>
            <w:pPr>
              <w:spacing w:line="480" w:lineRule="exact"/>
              <w:ind w:firstLine="0" w:firstLineChars="0"/>
              <w:jc w:val="center"/>
            </w:pPr>
            <w:r>
              <w:t>（m</w:t>
            </w:r>
            <w:r>
              <w:rPr>
                <w:vertAlign w:val="superscript"/>
              </w:rPr>
              <w:t>2</w:t>
            </w:r>
            <w:r>
              <w:t>）</w:t>
            </w:r>
          </w:p>
        </w:tc>
        <w:tc>
          <w:tcPr>
            <w:tcW w:w="3900" w:type="dxa"/>
            <w:gridSpan w:val="4"/>
            <w:vAlign w:val="center"/>
          </w:tcPr>
          <w:p>
            <w:pPr>
              <w:spacing w:line="480" w:lineRule="exact"/>
              <w:ind w:firstLine="0" w:firstLineChars="0"/>
              <w:jc w:val="center"/>
              <w:rPr>
                <w:b/>
              </w:rPr>
            </w:pPr>
            <w:r>
              <w:t>4000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总投资</w:t>
            </w:r>
          </w:p>
          <w:p>
            <w:pPr>
              <w:spacing w:line="480" w:lineRule="exact"/>
              <w:ind w:firstLine="0" w:firstLineChars="0"/>
              <w:jc w:val="center"/>
            </w:pPr>
            <w:r>
              <w:t>（万元）</w:t>
            </w:r>
          </w:p>
        </w:tc>
        <w:tc>
          <w:tcPr>
            <w:tcW w:w="1495" w:type="dxa"/>
            <w:vAlign w:val="center"/>
          </w:tcPr>
          <w:p>
            <w:pPr>
              <w:spacing w:line="480" w:lineRule="exact"/>
              <w:ind w:firstLine="0" w:firstLineChars="0"/>
              <w:jc w:val="center"/>
              <w:rPr>
                <w:b/>
              </w:rPr>
            </w:pPr>
            <w:r>
              <w:t>300</w:t>
            </w:r>
          </w:p>
        </w:tc>
        <w:tc>
          <w:tcPr>
            <w:tcW w:w="1758" w:type="dxa"/>
            <w:gridSpan w:val="4"/>
            <w:vAlign w:val="center"/>
          </w:tcPr>
          <w:p>
            <w:pPr>
              <w:spacing w:line="480" w:lineRule="exact"/>
              <w:ind w:firstLine="0" w:firstLineChars="0"/>
              <w:jc w:val="center"/>
            </w:pPr>
            <w:r>
              <w:t>其中环保</w:t>
            </w:r>
          </w:p>
          <w:p>
            <w:pPr>
              <w:spacing w:line="480" w:lineRule="exact"/>
              <w:ind w:firstLine="0" w:firstLineChars="0"/>
              <w:jc w:val="center"/>
            </w:pPr>
            <w:r>
              <w:t>投资(万元)</w:t>
            </w:r>
          </w:p>
        </w:tc>
        <w:tc>
          <w:tcPr>
            <w:tcW w:w="1183" w:type="dxa"/>
            <w:gridSpan w:val="4"/>
            <w:vAlign w:val="center"/>
          </w:tcPr>
          <w:p>
            <w:pPr>
              <w:spacing w:line="480" w:lineRule="exact"/>
              <w:ind w:firstLine="0" w:firstLineChars="0"/>
              <w:jc w:val="center"/>
            </w:pPr>
            <w:r>
              <w:t>15.1</w:t>
            </w:r>
          </w:p>
        </w:tc>
        <w:tc>
          <w:tcPr>
            <w:tcW w:w="1700" w:type="dxa"/>
            <w:gridSpan w:val="2"/>
            <w:vAlign w:val="center"/>
          </w:tcPr>
          <w:p>
            <w:pPr>
              <w:spacing w:line="480" w:lineRule="exact"/>
              <w:ind w:firstLine="0" w:firstLineChars="0"/>
              <w:jc w:val="center"/>
              <w:rPr>
                <w:b/>
              </w:rPr>
            </w:pPr>
            <w:r>
              <w:t>环保投资占总投资比例（%）</w:t>
            </w:r>
          </w:p>
        </w:tc>
        <w:tc>
          <w:tcPr>
            <w:tcW w:w="1773" w:type="dxa"/>
            <w:vAlign w:val="center"/>
          </w:tcPr>
          <w:p>
            <w:pPr>
              <w:spacing w:line="480" w:lineRule="exact"/>
              <w:ind w:firstLine="0" w:firstLineChars="0"/>
              <w:jc w:val="center"/>
            </w:pPr>
            <w:r>
              <w:t>5.03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290" w:type="dxa"/>
            <w:vAlign w:val="center"/>
          </w:tcPr>
          <w:p>
            <w:pPr>
              <w:spacing w:line="480" w:lineRule="exact"/>
              <w:ind w:firstLine="0" w:firstLineChars="0"/>
              <w:jc w:val="center"/>
            </w:pPr>
            <w:r>
              <w:t>评价经费</w:t>
            </w:r>
          </w:p>
          <w:p>
            <w:pPr>
              <w:spacing w:line="480" w:lineRule="exact"/>
              <w:ind w:firstLine="0" w:firstLineChars="0"/>
              <w:jc w:val="center"/>
            </w:pPr>
            <w:r>
              <w:t>（万元）</w:t>
            </w:r>
          </w:p>
        </w:tc>
        <w:tc>
          <w:tcPr>
            <w:tcW w:w="1495" w:type="dxa"/>
            <w:vAlign w:val="center"/>
          </w:tcPr>
          <w:p>
            <w:pPr>
              <w:spacing w:line="480" w:lineRule="exact"/>
              <w:ind w:firstLine="0" w:firstLineChars="0"/>
              <w:jc w:val="center"/>
            </w:pPr>
            <w:r>
              <w:t>/</w:t>
            </w:r>
          </w:p>
        </w:tc>
        <w:tc>
          <w:tcPr>
            <w:tcW w:w="2941" w:type="dxa"/>
            <w:gridSpan w:val="8"/>
            <w:vAlign w:val="center"/>
          </w:tcPr>
          <w:p>
            <w:pPr>
              <w:spacing w:line="480" w:lineRule="exact"/>
              <w:ind w:firstLine="0" w:firstLineChars="0"/>
              <w:jc w:val="center"/>
            </w:pPr>
            <w:r>
              <w:t>预期投产日期</w:t>
            </w:r>
          </w:p>
        </w:tc>
        <w:tc>
          <w:tcPr>
            <w:tcW w:w="3473" w:type="dxa"/>
            <w:gridSpan w:val="3"/>
            <w:vAlign w:val="center"/>
          </w:tcPr>
          <w:p>
            <w:pPr>
              <w:spacing w:line="480" w:lineRule="exact"/>
              <w:ind w:firstLine="0" w:firstLineChars="0"/>
              <w:jc w:val="center"/>
              <w:rPr>
                <w:b/>
              </w:rPr>
            </w:pPr>
            <w:r>
              <w:t>2020.5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56" w:hRule="atLeast"/>
        </w:trPr>
        <w:tc>
          <w:tcPr>
            <w:tcW w:w="9199" w:type="dxa"/>
            <w:gridSpan w:val="13"/>
            <w:vAlign w:val="center"/>
          </w:tcPr>
          <w:p>
            <w:pPr>
              <w:ind w:firstLine="0" w:firstLineChars="0"/>
              <w:jc w:val="both"/>
              <w:rPr>
                <w:b/>
                <w:bCs/>
              </w:rPr>
            </w:pPr>
            <w:r>
              <w:rPr>
                <w:b/>
                <w:bCs/>
              </w:rPr>
              <w:t>工程内容及规模</w:t>
            </w:r>
          </w:p>
          <w:p>
            <w:pPr>
              <w:adjustRightInd w:val="0"/>
              <w:snapToGrid w:val="0"/>
              <w:ind w:firstLine="480"/>
              <w:jc w:val="both"/>
            </w:pPr>
            <w:r>
              <w:t>1项目由来</w:t>
            </w:r>
          </w:p>
          <w:p>
            <w:pPr>
              <w:tabs>
                <w:tab w:val="left" w:pos="5130"/>
              </w:tabs>
              <w:ind w:firstLine="480"/>
              <w:jc w:val="both"/>
            </w:pPr>
            <w:r>
              <w:t>（1）项目背景</w:t>
            </w:r>
          </w:p>
          <w:p>
            <w:pPr>
              <w:adjustRightInd w:val="0"/>
              <w:snapToGrid w:val="0"/>
              <w:ind w:firstLine="480"/>
              <w:jc w:val="both"/>
              <w:rPr>
                <w:bCs/>
              </w:rPr>
            </w:pPr>
            <w:r>
              <w:t>河南嘉色铝业有限公司</w:t>
            </w:r>
            <w:r>
              <w:rPr>
                <w:bCs/>
              </w:rPr>
              <w:t>投资300万元在河南省新乡市封丘县留光镇农民创业园04号</w:t>
            </w:r>
            <w:r>
              <w:rPr>
                <w:rFonts w:hint="eastAsia"/>
                <w:bCs/>
              </w:rPr>
              <w:t>，</w:t>
            </w:r>
            <w:r>
              <w:rPr>
                <w:bCs/>
              </w:rPr>
              <w:t>建设规模为年产10万平方米建筑装饰用铝单板项目</w:t>
            </w:r>
            <w:r>
              <w:rPr>
                <w:rFonts w:hint="eastAsia"/>
                <w:bCs/>
              </w:rPr>
              <w:t>。</w:t>
            </w:r>
            <w:r>
              <w:rPr>
                <w:bCs/>
              </w:rPr>
              <w:t>项目</w:t>
            </w:r>
            <w:r>
              <w:rPr>
                <w:rFonts w:hint="eastAsia"/>
                <w:bCs/>
              </w:rPr>
              <w:t>租赁</w:t>
            </w:r>
            <w:r>
              <w:rPr>
                <w:bCs/>
              </w:rPr>
              <w:t>厂房，厂房面积4000m</w:t>
            </w:r>
            <w:r>
              <w:rPr>
                <w:bCs/>
                <w:vertAlign w:val="superscript"/>
              </w:rPr>
              <w:t>2</w:t>
            </w:r>
            <w:r>
              <w:rPr>
                <w:bCs/>
              </w:rPr>
              <w:t>。</w:t>
            </w:r>
            <w:r>
              <w:rPr>
                <w:rFonts w:hint="eastAsia"/>
                <w:bCs/>
              </w:rPr>
              <w:t>封丘县发展和改革委员会</w:t>
            </w:r>
            <w:r>
              <w:rPr>
                <w:bCs/>
              </w:rPr>
              <w:t>出具《河南省企业投资项目备案确认书》（2020-410727-50-03-000675）（具体内容详见附件2），同意该项目备案。</w:t>
            </w:r>
          </w:p>
          <w:p>
            <w:pPr>
              <w:adjustRightInd w:val="0"/>
              <w:snapToGrid w:val="0"/>
              <w:ind w:firstLine="480"/>
              <w:jc w:val="both"/>
            </w:pPr>
            <w:r>
              <w:rPr>
                <w:rFonts w:hint="eastAsia"/>
                <w:bCs/>
              </w:rPr>
              <w:t>根据封丘县国土资源局留光国土资源所证明，本项目用地</w:t>
            </w:r>
            <w:r>
              <w:rPr>
                <w:bCs/>
              </w:rPr>
              <w:t>为工业用地（土地证明见附件5）；</w:t>
            </w:r>
            <w:r>
              <w:rPr>
                <w:rFonts w:hint="eastAsia"/>
                <w:bCs/>
              </w:rPr>
              <w:t>符合留光镇土地利用总体规划</w:t>
            </w:r>
            <w:r>
              <w:rPr>
                <w:bCs/>
              </w:rPr>
              <w:t>。</w:t>
            </w:r>
          </w:p>
          <w:p>
            <w:pPr>
              <w:tabs>
                <w:tab w:val="center" w:pos="4212"/>
              </w:tabs>
              <w:ind w:firstLine="480"/>
              <w:jc w:val="both"/>
            </w:pPr>
            <w:r>
              <w:t>根据《中华人民共和国环境保护法》、《中华人民共和国环境影响评价法》以及《建设项目环境保护管理条例》的规定，该建设项目应进行环境影响评价。</w:t>
            </w:r>
          </w:p>
          <w:p>
            <w:pPr>
              <w:ind w:firstLine="480"/>
              <w:jc w:val="both"/>
            </w:pPr>
            <w:r>
              <w:t>依据《建设项目环境影响评价分类管理名录》（环境保护部令第44号）及《关于修改〈建设项目环境影响评价分类管理名录〉部分内容的决定》（生态环境部令第1号）规定</w:t>
            </w:r>
            <w:r>
              <w:rPr>
                <w:rFonts w:hint="eastAsia"/>
              </w:rPr>
              <w:t>，</w:t>
            </w:r>
            <w:r>
              <w:rPr>
                <w:bCs/>
              </w:rPr>
              <w:t>本项目属于</w:t>
            </w:r>
            <w:r>
              <w:t>“</w:t>
            </w:r>
            <w:r>
              <w:rPr>
                <w:bCs/>
              </w:rPr>
              <w:t>二十</w:t>
            </w:r>
            <w:r>
              <w:rPr>
                <w:rFonts w:hint="eastAsia"/>
                <w:bCs/>
              </w:rPr>
              <w:t>二</w:t>
            </w:r>
            <w:r>
              <w:rPr>
                <w:bCs/>
              </w:rPr>
              <w:t>、</w:t>
            </w:r>
            <w:r>
              <w:rPr>
                <w:rFonts w:hint="eastAsia"/>
                <w:bCs/>
              </w:rPr>
              <w:t>金属制品加工</w:t>
            </w:r>
            <w:r>
              <w:rPr>
                <w:bCs/>
              </w:rPr>
              <w:t>制造</w:t>
            </w:r>
            <w:r>
              <w:t>”</w:t>
            </w:r>
            <w:r>
              <w:rPr>
                <w:bCs/>
              </w:rPr>
              <w:t>中的</w:t>
            </w:r>
            <w:r>
              <w:t>“</w:t>
            </w:r>
            <w:r>
              <w:rPr>
                <w:bCs/>
              </w:rPr>
              <w:t>其他（仅</w:t>
            </w:r>
            <w:r>
              <w:rPr>
                <w:rFonts w:hint="eastAsia"/>
                <w:bCs/>
              </w:rPr>
              <w:t>切割</w:t>
            </w:r>
            <w:r>
              <w:rPr>
                <w:bCs/>
              </w:rPr>
              <w:t>组装的除外）</w:t>
            </w:r>
            <w:r>
              <w:t>”</w:t>
            </w:r>
            <w:r>
              <w:rPr>
                <w:bCs/>
              </w:rPr>
              <w:t>编制报告表，因此</w:t>
            </w:r>
            <w:r>
              <w:rPr>
                <w:rFonts w:hint="eastAsia"/>
                <w:bCs/>
              </w:rPr>
              <w:t>本项目</w:t>
            </w:r>
            <w:r>
              <w:rPr>
                <w:bCs/>
              </w:rPr>
              <w:t>应编制环境影响报告表。</w:t>
            </w:r>
          </w:p>
          <w:p>
            <w:pPr>
              <w:ind w:firstLine="480"/>
              <w:jc w:val="both"/>
            </w:pPr>
            <w:r>
              <w:t>受</w:t>
            </w:r>
            <w:r>
              <w:rPr>
                <w:bCs/>
              </w:rPr>
              <w:t>河南嘉色铝业有限公司</w:t>
            </w:r>
            <w:r>
              <w:t>的委托，我司承担了该项目的环境影响评价工作，接受委托后（见附件1）。我技术人员经过详细的现场勘察、工程分析和专家咨询的基础上，遵照国家环境保护法规，贯彻执行达标排放、总量控制的原则，本着客观、公正科学、规范的要求，编制完成了《年产10万平方米建筑装饰用铝单板项目环境影响报告表》。</w:t>
            </w:r>
          </w:p>
          <w:p>
            <w:pPr>
              <w:pStyle w:val="19"/>
              <w:spacing w:line="520" w:lineRule="exact"/>
              <w:ind w:firstLine="480"/>
              <w:rPr>
                <w:rFonts w:ascii="Times New Roman" w:hAnsi="Times New Roman" w:cs="Times New Roman"/>
                <w:sz w:val="24"/>
                <w:szCs w:val="24"/>
              </w:rPr>
            </w:pPr>
            <w:r>
              <w:rPr>
                <w:rFonts w:ascii="Times New Roman" w:hAnsi="Times New Roman" w:cs="Times New Roman"/>
                <w:sz w:val="24"/>
                <w:szCs w:val="24"/>
              </w:rPr>
              <w:t>根据现场</w:t>
            </w:r>
            <w:r>
              <w:rPr>
                <w:rFonts w:hint="eastAsia" w:ascii="Times New Roman" w:hAnsi="Times New Roman" w:cs="Times New Roman"/>
                <w:sz w:val="24"/>
                <w:szCs w:val="24"/>
              </w:rPr>
              <w:t>踏勘</w:t>
            </w:r>
            <w:r>
              <w:rPr>
                <w:rFonts w:ascii="Times New Roman" w:hAnsi="Times New Roman" w:cs="Times New Roman"/>
                <w:sz w:val="24"/>
                <w:szCs w:val="24"/>
              </w:rPr>
              <w:t>，</w:t>
            </w:r>
            <w:r>
              <w:rPr>
                <w:rFonts w:hint="eastAsia" w:ascii="Times New Roman" w:hAnsi="Times New Roman" w:cs="Times New Roman"/>
                <w:sz w:val="24"/>
                <w:szCs w:val="24"/>
              </w:rPr>
              <w:t>本</w:t>
            </w:r>
            <w:r>
              <w:rPr>
                <w:rFonts w:ascii="Times New Roman" w:hAnsi="Times New Roman" w:cs="Times New Roman"/>
                <w:sz w:val="24"/>
                <w:szCs w:val="24"/>
              </w:rPr>
              <w:t>项目</w:t>
            </w:r>
            <w:r>
              <w:rPr>
                <w:rFonts w:hint="eastAsia" w:ascii="Times New Roman" w:hAnsi="Times New Roman" w:cs="Times New Roman"/>
                <w:sz w:val="24"/>
                <w:szCs w:val="24"/>
              </w:rPr>
              <w:t>生产设施尚未安装，不属于未批先建。</w:t>
            </w:r>
          </w:p>
          <w:p>
            <w:pPr>
              <w:ind w:firstLine="0" w:firstLineChars="0"/>
              <w:rPr>
                <w:b/>
                <w:bCs/>
              </w:rPr>
            </w:pPr>
            <w:r>
              <w:rPr>
                <w:b/>
                <w:bCs/>
              </w:rPr>
              <w:t>2、项目概况</w:t>
            </w:r>
          </w:p>
          <w:p>
            <w:pPr>
              <w:pStyle w:val="19"/>
              <w:spacing w:line="520" w:lineRule="exact"/>
              <w:ind w:firstLine="480"/>
              <w:rPr>
                <w:rFonts w:ascii="Times New Roman" w:hAnsi="Times New Roman" w:cs="Times New Roman"/>
                <w:sz w:val="24"/>
                <w:szCs w:val="24"/>
              </w:rPr>
            </w:pPr>
            <w:r>
              <w:rPr>
                <w:rFonts w:ascii="Times New Roman" w:hAnsi="Times New Roman" w:cs="Times New Roman"/>
                <w:sz w:val="24"/>
                <w:szCs w:val="24"/>
              </w:rPr>
              <w:t>本项目租用河南省新乡市封丘县留光镇农民创业园04号</w:t>
            </w:r>
            <w:r>
              <w:rPr>
                <w:rFonts w:hint="eastAsia" w:ascii="Times New Roman" w:hAnsi="Times New Roman" w:cs="Times New Roman"/>
                <w:sz w:val="24"/>
                <w:szCs w:val="24"/>
              </w:rPr>
              <w:t>，</w:t>
            </w:r>
            <w:r>
              <w:rPr>
                <w:rFonts w:ascii="Times New Roman" w:hAnsi="Times New Roman" w:cs="Times New Roman"/>
                <w:sz w:val="24"/>
                <w:szCs w:val="24"/>
              </w:rPr>
              <w:t>据现场调查，</w:t>
            </w:r>
            <w:r>
              <w:rPr>
                <w:rFonts w:hint="eastAsia" w:ascii="Times New Roman" w:hAnsi="Times New Roman" w:cs="Times New Roman"/>
                <w:sz w:val="24"/>
                <w:szCs w:val="24"/>
              </w:rPr>
              <w:t>项目北侧为北侧为空地，项目东侧为标准化厂房，项目南侧为园区道路，西南</w:t>
            </w:r>
            <w:r>
              <w:rPr>
                <w:rFonts w:ascii="Times New Roman" w:hAnsi="Times New Roman" w:cs="Times New Roman"/>
                <w:sz w:val="24"/>
                <w:szCs w:val="24"/>
              </w:rPr>
              <w:t>60</w:t>
            </w:r>
            <w:r>
              <w:rPr>
                <w:rFonts w:hint="eastAsia" w:ascii="Times New Roman" w:hAnsi="Times New Roman" w:cs="Times New Roman"/>
                <w:sz w:val="24"/>
                <w:szCs w:val="24"/>
              </w:rPr>
              <w:t>m为河南相思电子有限公司，项目西侧7</w:t>
            </w:r>
            <w:r>
              <w:rPr>
                <w:rFonts w:ascii="Times New Roman" w:hAnsi="Times New Roman" w:cs="Times New Roman"/>
                <w:sz w:val="24"/>
                <w:szCs w:val="24"/>
              </w:rPr>
              <w:t>00</w:t>
            </w:r>
            <w:r>
              <w:rPr>
                <w:rFonts w:hint="eastAsia" w:ascii="Times New Roman" w:hAnsi="Times New Roman" w:cs="Times New Roman"/>
                <w:sz w:val="24"/>
                <w:szCs w:val="24"/>
              </w:rPr>
              <w:t>m为省道2</w:t>
            </w:r>
            <w:r>
              <w:rPr>
                <w:rFonts w:ascii="Times New Roman" w:hAnsi="Times New Roman" w:cs="Times New Roman"/>
                <w:sz w:val="24"/>
                <w:szCs w:val="24"/>
              </w:rPr>
              <w:t>13</w:t>
            </w:r>
            <w:r>
              <w:rPr>
                <w:rFonts w:hint="eastAsia" w:ascii="Times New Roman" w:hAnsi="Times New Roman" w:cs="Times New Roman"/>
                <w:sz w:val="24"/>
                <w:szCs w:val="24"/>
              </w:rPr>
              <w:t>，东北7</w:t>
            </w:r>
            <w:r>
              <w:rPr>
                <w:rFonts w:ascii="Times New Roman" w:hAnsi="Times New Roman" w:cs="Times New Roman"/>
                <w:sz w:val="24"/>
                <w:szCs w:val="24"/>
              </w:rPr>
              <w:t>00</w:t>
            </w:r>
            <w:r>
              <w:rPr>
                <w:rFonts w:hint="eastAsia" w:ascii="Times New Roman" w:hAnsi="Times New Roman" w:cs="Times New Roman"/>
                <w:sz w:val="24"/>
                <w:szCs w:val="24"/>
              </w:rPr>
              <w:t>m为马村。</w:t>
            </w:r>
          </w:p>
          <w:p>
            <w:pPr>
              <w:pStyle w:val="19"/>
              <w:spacing w:line="520" w:lineRule="exact"/>
              <w:ind w:firstLine="480"/>
              <w:rPr>
                <w:rFonts w:ascii="Times New Roman" w:hAnsi="Times New Roman" w:cs="Times New Roman"/>
                <w:sz w:val="24"/>
                <w:szCs w:val="24"/>
              </w:rPr>
            </w:pPr>
            <w:r>
              <w:rPr>
                <w:rFonts w:ascii="Times New Roman" w:hAnsi="Times New Roman" w:cs="Times New Roman"/>
                <w:sz w:val="24"/>
                <w:szCs w:val="24"/>
              </w:rPr>
              <w:t>本项目四周已入驻的企业无与本项目不相容的企业。本项目建设内容详见表1。</w:t>
            </w:r>
          </w:p>
          <w:p>
            <w:pPr>
              <w:pStyle w:val="7"/>
            </w:pPr>
            <w:r>
              <w:rPr>
                <w:rFonts w:hint="eastAsia"/>
                <w:sz w:val="21"/>
              </w:rPr>
              <w:t>本项目建设内容一览表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797"/>
              <w:gridCol w:w="1436"/>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sz w:val="21"/>
                      <w:szCs w:val="21"/>
                    </w:rPr>
                  </w:pPr>
                  <w:r>
                    <w:rPr>
                      <w:rFonts w:eastAsiaTheme="minorEastAsia"/>
                      <w:sz w:val="21"/>
                      <w:szCs w:val="21"/>
                    </w:rPr>
                    <w:t>序号</w:t>
                  </w:r>
                </w:p>
              </w:tc>
              <w:tc>
                <w:tcPr>
                  <w:tcW w:w="1244" w:type="pct"/>
                  <w:gridSpan w:val="2"/>
                  <w:vAlign w:val="center"/>
                </w:tcPr>
                <w:p>
                  <w:pPr>
                    <w:spacing w:line="240" w:lineRule="auto"/>
                    <w:ind w:firstLine="0" w:firstLineChars="0"/>
                    <w:jc w:val="center"/>
                    <w:rPr>
                      <w:rFonts w:eastAsiaTheme="minorEastAsia"/>
                      <w:sz w:val="21"/>
                      <w:szCs w:val="21"/>
                    </w:rPr>
                  </w:pPr>
                  <w:r>
                    <w:rPr>
                      <w:rFonts w:eastAsiaTheme="minorEastAsia"/>
                      <w:sz w:val="21"/>
                      <w:szCs w:val="21"/>
                    </w:rPr>
                    <w:t>项目</w:t>
                  </w:r>
                </w:p>
              </w:tc>
              <w:tc>
                <w:tcPr>
                  <w:tcW w:w="3312" w:type="pct"/>
                  <w:vAlign w:val="center"/>
                </w:tcPr>
                <w:p>
                  <w:pPr>
                    <w:spacing w:line="240" w:lineRule="auto"/>
                    <w:ind w:firstLine="0" w:firstLineChars="0"/>
                    <w:jc w:val="center"/>
                    <w:rPr>
                      <w:rFonts w:eastAsiaTheme="minorEastAsia"/>
                      <w:sz w:val="21"/>
                      <w:szCs w:val="21"/>
                    </w:rPr>
                  </w:pPr>
                  <w:r>
                    <w:rPr>
                      <w:rFonts w:eastAsiaTheme="minorEastAsia"/>
                      <w:sz w:val="21"/>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1</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项目名称</w:t>
                  </w:r>
                </w:p>
              </w:tc>
              <w:tc>
                <w:tcPr>
                  <w:tcW w:w="3312" w:type="pct"/>
                  <w:vAlign w:val="center"/>
                </w:tcPr>
                <w:p>
                  <w:pPr>
                    <w:spacing w:line="240" w:lineRule="auto"/>
                    <w:ind w:firstLine="0" w:firstLineChars="0"/>
                    <w:jc w:val="center"/>
                    <w:rPr>
                      <w:rFonts w:eastAsiaTheme="minorEastAsia"/>
                      <w:b/>
                      <w:sz w:val="21"/>
                      <w:szCs w:val="21"/>
                    </w:rPr>
                  </w:pPr>
                  <w:r>
                    <w:rPr>
                      <w:rFonts w:eastAsiaTheme="minorEastAsia"/>
                      <w:sz w:val="21"/>
                      <w:szCs w:val="21"/>
                    </w:rPr>
                    <w:t>年产10万平方米建筑装饰用铝单板项目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2</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建设单位</w:t>
                  </w:r>
                </w:p>
              </w:tc>
              <w:tc>
                <w:tcPr>
                  <w:tcW w:w="3312" w:type="pct"/>
                  <w:vAlign w:val="center"/>
                </w:tcPr>
                <w:p>
                  <w:pPr>
                    <w:spacing w:line="240" w:lineRule="auto"/>
                    <w:ind w:firstLine="0" w:firstLineChars="0"/>
                    <w:jc w:val="center"/>
                    <w:rPr>
                      <w:rFonts w:eastAsiaTheme="minorEastAsia"/>
                      <w:b/>
                      <w:sz w:val="21"/>
                      <w:szCs w:val="21"/>
                    </w:rPr>
                  </w:pPr>
                  <w:r>
                    <w:rPr>
                      <w:rFonts w:eastAsiaTheme="minorEastAsia"/>
                      <w:sz w:val="21"/>
                      <w:szCs w:val="21"/>
                    </w:rPr>
                    <w:t>河南嘉色铝业有限公司</w:t>
                  </w:r>
                  <w:r>
                    <w:rPr>
                      <w:rFonts w:hint="eastAsia" w:eastAsiaTheme="minorEastAsia"/>
                      <w:sz w:val="21"/>
                      <w:szCs w:val="21"/>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3</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建设地点</w:t>
                  </w:r>
                </w:p>
              </w:tc>
              <w:tc>
                <w:tcPr>
                  <w:tcW w:w="3312" w:type="pct"/>
                  <w:vAlign w:val="center"/>
                </w:tcPr>
                <w:p>
                  <w:pPr>
                    <w:spacing w:line="240" w:lineRule="auto"/>
                    <w:ind w:firstLine="0" w:firstLineChars="0"/>
                    <w:jc w:val="center"/>
                    <w:rPr>
                      <w:rFonts w:eastAsiaTheme="minorEastAsia"/>
                      <w:b/>
                      <w:sz w:val="21"/>
                      <w:szCs w:val="21"/>
                    </w:rPr>
                  </w:pPr>
                  <w:r>
                    <w:rPr>
                      <w:rFonts w:eastAsiaTheme="minorEastAsia"/>
                      <w:sz w:val="21"/>
                      <w:szCs w:val="21"/>
                    </w:rPr>
                    <w:t>河南省新乡市封丘县留光镇农民创业园04号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4</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建设性质</w:t>
                  </w:r>
                </w:p>
              </w:tc>
              <w:tc>
                <w:tcPr>
                  <w:tcW w:w="331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5</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总投资</w:t>
                  </w:r>
                </w:p>
              </w:tc>
              <w:tc>
                <w:tcPr>
                  <w:tcW w:w="331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6</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占地面积</w:t>
                  </w:r>
                </w:p>
              </w:tc>
              <w:tc>
                <w:tcPr>
                  <w:tcW w:w="331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4000m</w:t>
                  </w:r>
                  <w:r>
                    <w:rPr>
                      <w:rFonts w:eastAsiaTheme="minorEastAsia"/>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7</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劳动定员</w:t>
                  </w:r>
                </w:p>
              </w:tc>
              <w:tc>
                <w:tcPr>
                  <w:tcW w:w="331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劳动定员40人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4"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8</w:t>
                  </w:r>
                </w:p>
              </w:tc>
              <w:tc>
                <w:tcPr>
                  <w:tcW w:w="1244" w:type="pct"/>
                  <w:gridSpan w:val="2"/>
                  <w:vAlign w:val="center"/>
                </w:tcPr>
                <w:p>
                  <w:pPr>
                    <w:spacing w:line="240" w:lineRule="auto"/>
                    <w:ind w:firstLine="0" w:firstLineChars="0"/>
                    <w:jc w:val="center"/>
                    <w:rPr>
                      <w:rFonts w:eastAsiaTheme="minorEastAsia"/>
                      <w:bCs/>
                      <w:sz w:val="21"/>
                      <w:szCs w:val="21"/>
                    </w:rPr>
                  </w:pPr>
                  <w:r>
                    <w:rPr>
                      <w:rFonts w:eastAsiaTheme="minorEastAsia"/>
                      <w:bCs/>
                      <w:sz w:val="21"/>
                      <w:szCs w:val="21"/>
                    </w:rPr>
                    <w:t>工作制度</w:t>
                  </w:r>
                </w:p>
              </w:tc>
              <w:tc>
                <w:tcPr>
                  <w:tcW w:w="331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每天一班，每班8小时，年运行300天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444" w:type="pct"/>
                  <w:vMerge w:val="restart"/>
                  <w:vAlign w:val="center"/>
                </w:tcPr>
                <w:p>
                  <w:pPr>
                    <w:spacing w:line="240" w:lineRule="auto"/>
                    <w:ind w:firstLine="0" w:firstLineChars="0"/>
                    <w:jc w:val="center"/>
                    <w:rPr>
                      <w:rFonts w:eastAsiaTheme="minorEastAsia"/>
                      <w:sz w:val="21"/>
                      <w:szCs w:val="21"/>
                    </w:rPr>
                  </w:pPr>
                  <w:r>
                    <w:rPr>
                      <w:rFonts w:eastAsiaTheme="minorEastAsia"/>
                      <w:sz w:val="21"/>
                      <w:szCs w:val="21"/>
                    </w:rPr>
                    <w:t>9</w:t>
                  </w:r>
                </w:p>
              </w:tc>
              <w:tc>
                <w:tcPr>
                  <w:tcW w:w="444" w:type="pct"/>
                  <w:vMerge w:val="restart"/>
                  <w:vAlign w:val="center"/>
                </w:tcPr>
                <w:p>
                  <w:pPr>
                    <w:spacing w:line="240" w:lineRule="auto"/>
                    <w:ind w:firstLine="0" w:firstLineChars="0"/>
                    <w:jc w:val="center"/>
                    <w:rPr>
                      <w:rFonts w:eastAsiaTheme="minorEastAsia"/>
                      <w:sz w:val="21"/>
                      <w:szCs w:val="21"/>
                    </w:rPr>
                  </w:pPr>
                  <w:r>
                    <w:rPr>
                      <w:rFonts w:eastAsiaTheme="minorEastAsia"/>
                      <w:sz w:val="21"/>
                      <w:szCs w:val="21"/>
                    </w:rPr>
                    <w:t>环保工程</w:t>
                  </w:r>
                </w:p>
              </w:tc>
              <w:tc>
                <w:tcPr>
                  <w:tcW w:w="800" w:type="pct"/>
                  <w:vAlign w:val="center"/>
                </w:tcPr>
                <w:p>
                  <w:pPr>
                    <w:spacing w:line="240" w:lineRule="auto"/>
                    <w:ind w:firstLine="0" w:firstLineChars="0"/>
                    <w:jc w:val="center"/>
                    <w:rPr>
                      <w:rFonts w:eastAsiaTheme="minorEastAsia"/>
                      <w:sz w:val="21"/>
                      <w:szCs w:val="21"/>
                    </w:rPr>
                  </w:pPr>
                  <w:r>
                    <w:rPr>
                      <w:rFonts w:eastAsiaTheme="minorEastAsia"/>
                      <w:sz w:val="21"/>
                      <w:szCs w:val="21"/>
                    </w:rPr>
                    <w:t>废水处理</w:t>
                  </w:r>
                </w:p>
              </w:tc>
              <w:tc>
                <w:tcPr>
                  <w:tcW w:w="3312" w:type="pct"/>
                  <w:vAlign w:val="center"/>
                </w:tcPr>
                <w:p>
                  <w:pPr>
                    <w:pStyle w:val="31"/>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本项目无生产废水</w:t>
                  </w:r>
                  <w:r>
                    <w:rPr>
                      <w:rFonts w:hint="eastAsia" w:ascii="Times New Roman" w:cs="Times New Roman" w:eastAsiaTheme="minorEastAsia"/>
                      <w:color w:val="auto"/>
                      <w:sz w:val="21"/>
                      <w:szCs w:val="21"/>
                    </w:rPr>
                    <w:t>外排</w:t>
                  </w:r>
                  <w:r>
                    <w:rPr>
                      <w:rFonts w:ascii="Times New Roman" w:cs="Times New Roman" w:eastAsiaTheme="minorEastAsia"/>
                      <w:color w:val="auto"/>
                      <w:sz w:val="21"/>
                      <w:szCs w:val="21"/>
                    </w:rPr>
                    <w:t>，</w:t>
                  </w:r>
                  <w:r>
                    <w:rPr>
                      <w:rFonts w:hint="eastAsia" w:ascii="Times New Roman" w:cs="Times New Roman" w:eastAsiaTheme="minorEastAsia"/>
                      <w:color w:val="auto"/>
                      <w:sz w:val="21"/>
                      <w:szCs w:val="21"/>
                    </w:rPr>
                    <w:t>生活污水经化粪池处理后由附近村民拉走肥田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44" w:type="pct"/>
                  <w:vMerge w:val="continue"/>
                  <w:vAlign w:val="center"/>
                </w:tcPr>
                <w:p>
                  <w:pPr>
                    <w:spacing w:line="240" w:lineRule="auto"/>
                    <w:ind w:firstLine="0" w:firstLineChars="0"/>
                    <w:jc w:val="center"/>
                    <w:rPr>
                      <w:rFonts w:eastAsiaTheme="minorEastAsia"/>
                      <w:sz w:val="21"/>
                      <w:szCs w:val="21"/>
                    </w:rPr>
                  </w:pPr>
                </w:p>
              </w:tc>
              <w:tc>
                <w:tcPr>
                  <w:tcW w:w="444" w:type="pct"/>
                  <w:vMerge w:val="continue"/>
                  <w:vAlign w:val="center"/>
                </w:tcPr>
                <w:p>
                  <w:pPr>
                    <w:spacing w:line="240" w:lineRule="auto"/>
                    <w:ind w:firstLine="0" w:firstLineChars="0"/>
                    <w:jc w:val="center"/>
                    <w:rPr>
                      <w:rFonts w:eastAsiaTheme="minorEastAsia"/>
                      <w:sz w:val="21"/>
                      <w:szCs w:val="21"/>
                    </w:rPr>
                  </w:pPr>
                </w:p>
              </w:tc>
              <w:tc>
                <w:tcPr>
                  <w:tcW w:w="800" w:type="pct"/>
                  <w:vAlign w:val="center"/>
                </w:tcPr>
                <w:p>
                  <w:pPr>
                    <w:spacing w:line="240" w:lineRule="auto"/>
                    <w:ind w:firstLine="0" w:firstLineChars="0"/>
                    <w:jc w:val="center"/>
                    <w:rPr>
                      <w:rFonts w:eastAsiaTheme="minorEastAsia"/>
                      <w:b/>
                      <w:sz w:val="21"/>
                      <w:szCs w:val="21"/>
                      <w:u w:val="single"/>
                    </w:rPr>
                  </w:pPr>
                  <w:r>
                    <w:rPr>
                      <w:rFonts w:eastAsiaTheme="minorEastAsia"/>
                      <w:b/>
                      <w:bCs/>
                      <w:iCs/>
                      <w:sz w:val="21"/>
                      <w:szCs w:val="21"/>
                      <w:u w:val="single"/>
                    </w:rPr>
                    <w:t>废气</w:t>
                  </w:r>
                  <w:r>
                    <w:rPr>
                      <w:rFonts w:eastAsiaTheme="minorEastAsia"/>
                      <w:b/>
                      <w:sz w:val="21"/>
                      <w:szCs w:val="21"/>
                      <w:u w:val="single"/>
                    </w:rPr>
                    <w:t>处理</w:t>
                  </w:r>
                </w:p>
              </w:tc>
              <w:tc>
                <w:tcPr>
                  <w:tcW w:w="3312" w:type="pct"/>
                  <w:vAlign w:val="center"/>
                </w:tcPr>
                <w:p>
                  <w:pPr>
                    <w:pStyle w:val="31"/>
                    <w:jc w:val="center"/>
                    <w:rPr>
                      <w:rFonts w:ascii="Times New Roman" w:cs="Times New Roman" w:eastAsiaTheme="minorEastAsia"/>
                      <w:b/>
                      <w:color w:val="auto"/>
                      <w:sz w:val="21"/>
                      <w:szCs w:val="21"/>
                      <w:u w:val="single"/>
                    </w:rPr>
                  </w:pPr>
                  <w:r>
                    <w:rPr>
                      <w:rFonts w:hint="eastAsia" w:ascii="Times New Roman" w:cs="Times New Roman" w:eastAsiaTheme="minorEastAsia"/>
                      <w:b/>
                      <w:color w:val="auto"/>
                      <w:sz w:val="21"/>
                      <w:szCs w:val="21"/>
                      <w:u w:val="single"/>
                    </w:rPr>
                    <w:t>项目切割、雕刻工序产生的粉尘经集气罩收集后进入1套袋式除尘器处理后经15m排气筒排放</w:t>
                  </w:r>
                </w:p>
                <w:p>
                  <w:pPr>
                    <w:pStyle w:val="31"/>
                    <w:jc w:val="center"/>
                    <w:rPr>
                      <w:rFonts w:ascii="Times New Roman" w:cs="Times New Roman" w:eastAsiaTheme="minorEastAsia"/>
                      <w:b/>
                      <w:color w:val="auto"/>
                      <w:sz w:val="21"/>
                      <w:szCs w:val="21"/>
                      <w:u w:val="single"/>
                    </w:rPr>
                  </w:pPr>
                  <w:r>
                    <w:rPr>
                      <w:rFonts w:hint="eastAsia" w:ascii="Times New Roman" w:cs="Times New Roman" w:eastAsiaTheme="minorEastAsia"/>
                      <w:b/>
                      <w:color w:val="auto"/>
                      <w:sz w:val="21"/>
                      <w:szCs w:val="21"/>
                      <w:u w:val="single"/>
                    </w:rPr>
                    <w:t>项目焊接工序产生的烟尘经集气罩收集后进入1套袋式除尘器处理后经15m排气筒排放</w:t>
                  </w:r>
                </w:p>
                <w:p>
                  <w:pPr>
                    <w:pStyle w:val="31"/>
                    <w:jc w:val="center"/>
                    <w:rPr>
                      <w:rFonts w:ascii="Times New Roman" w:cs="Times New Roman" w:eastAsiaTheme="minorEastAsia"/>
                      <w:b/>
                      <w:color w:val="auto"/>
                      <w:sz w:val="21"/>
                      <w:szCs w:val="21"/>
                      <w:u w:val="single"/>
                    </w:rPr>
                  </w:pPr>
                  <w:r>
                    <w:rPr>
                      <w:rFonts w:ascii="Times New Roman" w:cs="Times New Roman" w:eastAsiaTheme="minorEastAsia"/>
                      <w:b/>
                      <w:color w:val="auto"/>
                      <w:sz w:val="21"/>
                      <w:szCs w:val="21"/>
                      <w:u w:val="single"/>
                    </w:rPr>
                    <w:t>项目</w:t>
                  </w:r>
                  <w:r>
                    <w:rPr>
                      <w:rFonts w:hint="eastAsia" w:ascii="Times New Roman" w:cs="Times New Roman" w:eastAsiaTheme="minorEastAsia"/>
                      <w:b/>
                      <w:color w:val="auto"/>
                      <w:sz w:val="21"/>
                      <w:szCs w:val="21"/>
                      <w:u w:val="single"/>
                    </w:rPr>
                    <w:t>打磨、抛光</w:t>
                  </w:r>
                  <w:r>
                    <w:rPr>
                      <w:rFonts w:ascii="Times New Roman" w:cs="Times New Roman" w:eastAsiaTheme="minorEastAsia"/>
                      <w:b/>
                      <w:color w:val="auto"/>
                      <w:sz w:val="21"/>
                      <w:szCs w:val="21"/>
                      <w:u w:val="single"/>
                    </w:rPr>
                    <w:t>工序</w:t>
                  </w:r>
                  <w:r>
                    <w:rPr>
                      <w:rFonts w:hint="eastAsia" w:ascii="Times New Roman" w:cs="Times New Roman" w:eastAsiaTheme="minorEastAsia"/>
                      <w:b/>
                      <w:color w:val="auto"/>
                      <w:sz w:val="21"/>
                      <w:szCs w:val="21"/>
                      <w:u w:val="single"/>
                    </w:rPr>
                    <w:t>产生的粉尘经集气罩收集后进入1套袋式除尘器处理后经15m排气筒排放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4" w:type="pct"/>
                  <w:vMerge w:val="continue"/>
                  <w:vAlign w:val="center"/>
                </w:tcPr>
                <w:p>
                  <w:pPr>
                    <w:spacing w:line="240" w:lineRule="auto"/>
                    <w:ind w:firstLine="0" w:firstLineChars="0"/>
                    <w:jc w:val="center"/>
                    <w:rPr>
                      <w:rFonts w:eastAsiaTheme="minorEastAsia"/>
                      <w:sz w:val="21"/>
                      <w:szCs w:val="21"/>
                    </w:rPr>
                  </w:pPr>
                </w:p>
              </w:tc>
              <w:tc>
                <w:tcPr>
                  <w:tcW w:w="444" w:type="pct"/>
                  <w:vMerge w:val="continue"/>
                  <w:vAlign w:val="center"/>
                </w:tcPr>
                <w:p>
                  <w:pPr>
                    <w:spacing w:line="240" w:lineRule="auto"/>
                    <w:ind w:firstLine="0" w:firstLineChars="0"/>
                    <w:jc w:val="center"/>
                    <w:rPr>
                      <w:rFonts w:eastAsiaTheme="minorEastAsia"/>
                      <w:sz w:val="21"/>
                      <w:szCs w:val="21"/>
                    </w:rPr>
                  </w:pPr>
                </w:p>
              </w:tc>
              <w:tc>
                <w:tcPr>
                  <w:tcW w:w="800" w:type="pct"/>
                  <w:vAlign w:val="center"/>
                </w:tcPr>
                <w:p>
                  <w:pPr>
                    <w:spacing w:line="240" w:lineRule="auto"/>
                    <w:ind w:firstLine="0" w:firstLineChars="0"/>
                    <w:jc w:val="center"/>
                    <w:rPr>
                      <w:rFonts w:eastAsiaTheme="minorEastAsia"/>
                      <w:sz w:val="21"/>
                      <w:szCs w:val="21"/>
                    </w:rPr>
                  </w:pPr>
                  <w:r>
                    <w:rPr>
                      <w:rFonts w:eastAsiaTheme="minorEastAsia"/>
                      <w:sz w:val="21"/>
                      <w:szCs w:val="21"/>
                    </w:rPr>
                    <w:t>噪声治理</w:t>
                  </w:r>
                </w:p>
              </w:tc>
              <w:tc>
                <w:tcPr>
                  <w:tcW w:w="3312" w:type="pct"/>
                  <w:vAlign w:val="center"/>
                </w:tcPr>
                <w:p>
                  <w:pPr>
                    <w:spacing w:line="240" w:lineRule="auto"/>
                    <w:ind w:firstLine="0" w:firstLineChars="0"/>
                    <w:jc w:val="center"/>
                    <w:rPr>
                      <w:rFonts w:eastAsiaTheme="minorEastAsia"/>
                      <w:sz w:val="21"/>
                      <w:szCs w:val="21"/>
                    </w:rPr>
                  </w:pPr>
                  <w:r>
                    <w:rPr>
                      <w:rFonts w:eastAsiaTheme="minorEastAsia"/>
                      <w:sz w:val="21"/>
                      <w:szCs w:val="21"/>
                    </w:rPr>
                    <w:t>基础减震、厂房隔声、距离衰减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4" w:type="pct"/>
                  <w:vMerge w:val="continue"/>
                  <w:vAlign w:val="center"/>
                </w:tcPr>
                <w:p>
                  <w:pPr>
                    <w:spacing w:line="240" w:lineRule="auto"/>
                    <w:ind w:firstLine="0" w:firstLineChars="0"/>
                    <w:jc w:val="center"/>
                    <w:rPr>
                      <w:rFonts w:eastAsiaTheme="minorEastAsia"/>
                      <w:sz w:val="21"/>
                      <w:szCs w:val="21"/>
                    </w:rPr>
                  </w:pPr>
                </w:p>
              </w:tc>
              <w:tc>
                <w:tcPr>
                  <w:tcW w:w="444" w:type="pct"/>
                  <w:vMerge w:val="continue"/>
                  <w:vAlign w:val="center"/>
                </w:tcPr>
                <w:p>
                  <w:pPr>
                    <w:spacing w:line="240" w:lineRule="auto"/>
                    <w:ind w:firstLine="0" w:firstLineChars="0"/>
                    <w:jc w:val="center"/>
                    <w:rPr>
                      <w:rFonts w:eastAsiaTheme="minorEastAsia"/>
                      <w:sz w:val="21"/>
                      <w:szCs w:val="21"/>
                    </w:rPr>
                  </w:pPr>
                </w:p>
              </w:tc>
              <w:tc>
                <w:tcPr>
                  <w:tcW w:w="800" w:type="pct"/>
                  <w:vAlign w:val="center"/>
                </w:tcPr>
                <w:p>
                  <w:pPr>
                    <w:spacing w:line="240" w:lineRule="auto"/>
                    <w:ind w:firstLine="0" w:firstLineChars="0"/>
                    <w:jc w:val="center"/>
                    <w:rPr>
                      <w:rFonts w:eastAsiaTheme="minorEastAsia"/>
                      <w:b/>
                      <w:sz w:val="21"/>
                      <w:szCs w:val="21"/>
                      <w:u w:val="single"/>
                    </w:rPr>
                  </w:pPr>
                  <w:r>
                    <w:rPr>
                      <w:rFonts w:hint="eastAsia" w:eastAsiaTheme="minorEastAsia"/>
                      <w:b/>
                      <w:sz w:val="21"/>
                      <w:szCs w:val="21"/>
                      <w:u w:val="single"/>
                    </w:rPr>
                    <w:t>一般固废</w:t>
                  </w:r>
                </w:p>
              </w:tc>
              <w:tc>
                <w:tcPr>
                  <w:tcW w:w="3312" w:type="pct"/>
                  <w:vAlign w:val="center"/>
                </w:tcPr>
                <w:p>
                  <w:pPr>
                    <w:spacing w:line="240" w:lineRule="auto"/>
                    <w:ind w:firstLine="0" w:firstLineChars="0"/>
                    <w:jc w:val="center"/>
                    <w:rPr>
                      <w:rFonts w:eastAsiaTheme="minorEastAsia"/>
                      <w:b/>
                      <w:sz w:val="21"/>
                      <w:szCs w:val="21"/>
                      <w:u w:val="single"/>
                    </w:rPr>
                  </w:pPr>
                  <w:r>
                    <w:rPr>
                      <w:rFonts w:hint="eastAsia" w:eastAsiaTheme="minorEastAsia"/>
                      <w:b/>
                      <w:sz w:val="21"/>
                      <w:szCs w:val="21"/>
                      <w:u w:val="single"/>
                    </w:rPr>
                    <w:t>车间东北部，</w:t>
                  </w:r>
                  <w:r>
                    <w:rPr>
                      <w:rFonts w:eastAsiaTheme="minorEastAsia"/>
                      <w:b/>
                      <w:sz w:val="21"/>
                      <w:szCs w:val="21"/>
                      <w:u w:val="single"/>
                    </w:rPr>
                    <w:t>设置</w:t>
                  </w:r>
                  <w:r>
                    <w:rPr>
                      <w:rFonts w:hint="eastAsia" w:eastAsiaTheme="minorEastAsia"/>
                      <w:b/>
                      <w:sz w:val="21"/>
                      <w:szCs w:val="21"/>
                      <w:u w:val="single"/>
                    </w:rPr>
                    <w:t>20</w:t>
                  </w:r>
                  <w:r>
                    <w:rPr>
                      <w:rFonts w:eastAsiaTheme="minorEastAsia"/>
                      <w:b/>
                      <w:sz w:val="21"/>
                      <w:szCs w:val="21"/>
                      <w:u w:val="single"/>
                    </w:rPr>
                    <w:t>m</w:t>
                  </w:r>
                  <w:r>
                    <w:rPr>
                      <w:rFonts w:eastAsiaTheme="minorEastAsia"/>
                      <w:b/>
                      <w:sz w:val="21"/>
                      <w:szCs w:val="21"/>
                      <w:u w:val="single"/>
                      <w:vertAlign w:val="superscript"/>
                    </w:rPr>
                    <w:t>2</w:t>
                  </w:r>
                  <w:r>
                    <w:rPr>
                      <w:rFonts w:hint="eastAsia" w:eastAsiaTheme="minorEastAsia"/>
                      <w:b/>
                      <w:sz w:val="21"/>
                      <w:szCs w:val="21"/>
                      <w:u w:val="single"/>
                    </w:rPr>
                    <w:t>一般固废暂存区</w:t>
                  </w:r>
                  <w:r>
                    <w:rPr>
                      <w:rFonts w:eastAsiaTheme="minorEastAsia"/>
                      <w:b/>
                      <w:sz w:val="21"/>
                      <w:szCs w:val="21"/>
                      <w:u w:val="single"/>
                    </w:rPr>
                    <w:t>1</w:t>
                  </w:r>
                  <w:r>
                    <w:rPr>
                      <w:rFonts w:hint="eastAsia" w:eastAsiaTheme="minorEastAsia"/>
                      <w:b/>
                      <w:sz w:val="21"/>
                      <w:szCs w:val="21"/>
                      <w:u w:val="single"/>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4" w:type="pct"/>
                  <w:vMerge w:val="continue"/>
                  <w:vAlign w:val="center"/>
                </w:tcPr>
                <w:p>
                  <w:pPr>
                    <w:spacing w:line="240" w:lineRule="auto"/>
                    <w:ind w:firstLine="0" w:firstLineChars="0"/>
                    <w:jc w:val="center"/>
                    <w:rPr>
                      <w:rFonts w:eastAsiaTheme="minorEastAsia"/>
                      <w:sz w:val="21"/>
                      <w:szCs w:val="21"/>
                    </w:rPr>
                  </w:pPr>
                </w:p>
              </w:tc>
              <w:tc>
                <w:tcPr>
                  <w:tcW w:w="444" w:type="pct"/>
                  <w:vMerge w:val="continue"/>
                  <w:vAlign w:val="center"/>
                </w:tcPr>
                <w:p>
                  <w:pPr>
                    <w:spacing w:line="240" w:lineRule="auto"/>
                    <w:ind w:firstLine="0" w:firstLineChars="0"/>
                    <w:jc w:val="center"/>
                    <w:rPr>
                      <w:rFonts w:eastAsiaTheme="minorEastAsia"/>
                      <w:sz w:val="21"/>
                      <w:szCs w:val="21"/>
                    </w:rPr>
                  </w:pPr>
                </w:p>
              </w:tc>
              <w:tc>
                <w:tcPr>
                  <w:tcW w:w="800" w:type="pct"/>
                  <w:vAlign w:val="center"/>
                </w:tcPr>
                <w:p>
                  <w:pPr>
                    <w:spacing w:line="240" w:lineRule="auto"/>
                    <w:ind w:firstLine="0" w:firstLineChars="0"/>
                    <w:jc w:val="center"/>
                    <w:rPr>
                      <w:rFonts w:eastAsiaTheme="minorEastAsia"/>
                      <w:b/>
                      <w:sz w:val="21"/>
                      <w:szCs w:val="21"/>
                      <w:u w:val="single"/>
                    </w:rPr>
                  </w:pPr>
                  <w:r>
                    <w:rPr>
                      <w:rFonts w:hint="eastAsia" w:eastAsiaTheme="minorEastAsia"/>
                      <w:b/>
                      <w:sz w:val="21"/>
                      <w:szCs w:val="21"/>
                      <w:u w:val="single"/>
                    </w:rPr>
                    <w:t>危险废物</w:t>
                  </w:r>
                </w:p>
              </w:tc>
              <w:tc>
                <w:tcPr>
                  <w:tcW w:w="3312" w:type="pct"/>
                  <w:vAlign w:val="center"/>
                </w:tcPr>
                <w:p>
                  <w:pPr>
                    <w:spacing w:line="240" w:lineRule="auto"/>
                    <w:ind w:firstLine="0" w:firstLineChars="0"/>
                    <w:jc w:val="center"/>
                    <w:rPr>
                      <w:rFonts w:eastAsiaTheme="minorEastAsia"/>
                      <w:b/>
                      <w:sz w:val="21"/>
                      <w:szCs w:val="21"/>
                      <w:u w:val="single"/>
                    </w:rPr>
                  </w:pPr>
                  <w:r>
                    <w:rPr>
                      <w:rFonts w:hint="eastAsia" w:eastAsiaTheme="minorEastAsia"/>
                      <w:b/>
                      <w:sz w:val="21"/>
                      <w:szCs w:val="21"/>
                      <w:u w:val="single"/>
                    </w:rPr>
                    <w:t>车间东北部，</w:t>
                  </w:r>
                  <w:r>
                    <w:rPr>
                      <w:rFonts w:eastAsiaTheme="minorEastAsia"/>
                      <w:b/>
                      <w:sz w:val="21"/>
                      <w:szCs w:val="21"/>
                      <w:u w:val="single"/>
                    </w:rPr>
                    <w:t>设置</w:t>
                  </w:r>
                  <w:r>
                    <w:rPr>
                      <w:rFonts w:hint="eastAsia" w:eastAsiaTheme="minorEastAsia"/>
                      <w:b/>
                      <w:sz w:val="21"/>
                      <w:szCs w:val="21"/>
                      <w:u w:val="single"/>
                    </w:rPr>
                    <w:t>5</w:t>
                  </w:r>
                  <w:r>
                    <w:rPr>
                      <w:rFonts w:eastAsiaTheme="minorEastAsia"/>
                      <w:b/>
                      <w:sz w:val="21"/>
                      <w:szCs w:val="21"/>
                      <w:u w:val="single"/>
                    </w:rPr>
                    <w:t>m</w:t>
                  </w:r>
                  <w:r>
                    <w:rPr>
                      <w:rFonts w:eastAsiaTheme="minorEastAsia"/>
                      <w:b/>
                      <w:sz w:val="21"/>
                      <w:szCs w:val="21"/>
                      <w:u w:val="single"/>
                      <w:vertAlign w:val="superscript"/>
                    </w:rPr>
                    <w:t>2</w:t>
                  </w:r>
                  <w:r>
                    <w:rPr>
                      <w:rFonts w:eastAsiaTheme="minorEastAsia"/>
                      <w:b/>
                      <w:sz w:val="21"/>
                      <w:szCs w:val="21"/>
                      <w:u w:val="single"/>
                    </w:rPr>
                    <w:t>危废暂存</w:t>
                  </w:r>
                  <w:r>
                    <w:rPr>
                      <w:rFonts w:hint="eastAsia" w:eastAsiaTheme="minorEastAsia"/>
                      <w:b/>
                      <w:sz w:val="21"/>
                      <w:szCs w:val="21"/>
                      <w:u w:val="single"/>
                    </w:rPr>
                    <w:t>间1座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444" w:type="pct"/>
                  <w:vMerge w:val="continue"/>
                  <w:vAlign w:val="center"/>
                </w:tcPr>
                <w:p>
                  <w:pPr>
                    <w:spacing w:line="240" w:lineRule="auto"/>
                    <w:ind w:firstLine="0" w:firstLineChars="0"/>
                    <w:rPr>
                      <w:rFonts w:eastAsiaTheme="minorEastAsia"/>
                      <w:sz w:val="21"/>
                      <w:szCs w:val="21"/>
                    </w:rPr>
                  </w:pPr>
                </w:p>
              </w:tc>
              <w:tc>
                <w:tcPr>
                  <w:tcW w:w="444" w:type="pct"/>
                  <w:vMerge w:val="continue"/>
                  <w:vAlign w:val="center"/>
                </w:tcPr>
                <w:p>
                  <w:pPr>
                    <w:spacing w:line="240" w:lineRule="auto"/>
                    <w:ind w:firstLine="0" w:firstLineChars="0"/>
                    <w:rPr>
                      <w:rFonts w:eastAsiaTheme="minorEastAsia"/>
                      <w:sz w:val="21"/>
                      <w:szCs w:val="21"/>
                    </w:rPr>
                  </w:pPr>
                </w:p>
              </w:tc>
              <w:tc>
                <w:tcPr>
                  <w:tcW w:w="800" w:type="pct"/>
                  <w:vAlign w:val="center"/>
                </w:tcPr>
                <w:p>
                  <w:pPr>
                    <w:spacing w:line="240" w:lineRule="auto"/>
                    <w:ind w:firstLine="0" w:firstLineChars="0"/>
                    <w:jc w:val="center"/>
                    <w:rPr>
                      <w:rFonts w:eastAsiaTheme="minorEastAsia"/>
                      <w:sz w:val="21"/>
                      <w:szCs w:val="21"/>
                    </w:rPr>
                  </w:pPr>
                  <w:r>
                    <w:rPr>
                      <w:rFonts w:hint="eastAsia" w:eastAsiaTheme="minorEastAsia"/>
                      <w:sz w:val="21"/>
                      <w:szCs w:val="21"/>
                    </w:rPr>
                    <w:t>生活垃圾</w:t>
                  </w:r>
                </w:p>
              </w:tc>
              <w:tc>
                <w:tcPr>
                  <w:tcW w:w="3312" w:type="pct"/>
                  <w:vAlign w:val="center"/>
                </w:tcPr>
                <w:p>
                  <w:pPr>
                    <w:spacing w:line="240" w:lineRule="auto"/>
                    <w:ind w:firstLine="0" w:firstLineChars="0"/>
                    <w:jc w:val="center"/>
                    <w:rPr>
                      <w:rFonts w:eastAsiaTheme="minorEastAsia"/>
                      <w:sz w:val="21"/>
                      <w:szCs w:val="21"/>
                    </w:rPr>
                  </w:pPr>
                  <w:r>
                    <w:rPr>
                      <w:rFonts w:eastAsiaTheme="minorEastAsia"/>
                      <w:sz w:val="21"/>
                      <w:szCs w:val="21"/>
                    </w:rPr>
                    <w:t>垃圾箱若干</w:t>
                  </w:r>
                </w:p>
              </w:tc>
            </w:tr>
          </w:tbl>
          <w:p>
            <w:pPr>
              <w:ind w:firstLine="0" w:firstLineChars="0"/>
              <w:rPr>
                <w:b/>
                <w:bCs/>
              </w:rPr>
            </w:pPr>
            <w:r>
              <w:rPr>
                <w:b/>
                <w:bCs/>
              </w:rPr>
              <w:t>3</w:t>
            </w:r>
            <w:r>
              <w:rPr>
                <w:rFonts w:hint="eastAsia"/>
                <w:b/>
                <w:bCs/>
              </w:rPr>
              <w:t>、</w:t>
            </w:r>
            <w:r>
              <w:rPr>
                <w:b/>
                <w:bCs/>
              </w:rPr>
              <w:t>产品方案</w:t>
            </w:r>
          </w:p>
          <w:p>
            <w:pPr>
              <w:ind w:firstLine="480"/>
              <w:jc w:val="both"/>
            </w:pPr>
            <w:r>
              <w:t>本项目产品方案及生产规模见表2。</w:t>
            </w:r>
          </w:p>
          <w:p>
            <w:pPr>
              <w:pStyle w:val="7"/>
              <w:rPr>
                <w:sz w:val="21"/>
              </w:rPr>
            </w:pPr>
            <w:r>
              <w:rPr>
                <w:sz w:val="21"/>
              </w:rPr>
              <w:t>本项目产品情况一览表</w:t>
            </w:r>
          </w:p>
          <w:tbl>
            <w:tblPr>
              <w:tblStyle w:val="20"/>
              <w:tblW w:w="89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2861"/>
              <w:gridCol w:w="2562"/>
              <w:gridCol w:w="2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122" w:type="dxa"/>
                  <w:vAlign w:val="center"/>
                </w:tcPr>
                <w:p>
                  <w:pPr>
                    <w:spacing w:line="360" w:lineRule="exact"/>
                    <w:ind w:firstLine="0" w:firstLineChars="0"/>
                    <w:jc w:val="center"/>
                    <w:rPr>
                      <w:sz w:val="21"/>
                      <w:szCs w:val="21"/>
                    </w:rPr>
                  </w:pPr>
                  <w:r>
                    <w:rPr>
                      <w:sz w:val="21"/>
                      <w:szCs w:val="21"/>
                    </w:rPr>
                    <w:t>序号</w:t>
                  </w:r>
                </w:p>
              </w:tc>
              <w:tc>
                <w:tcPr>
                  <w:tcW w:w="2861" w:type="dxa"/>
                  <w:vAlign w:val="center"/>
                </w:tcPr>
                <w:p>
                  <w:pPr>
                    <w:spacing w:line="360" w:lineRule="exact"/>
                    <w:ind w:firstLine="0" w:firstLineChars="0"/>
                    <w:jc w:val="center"/>
                    <w:rPr>
                      <w:sz w:val="21"/>
                      <w:szCs w:val="21"/>
                    </w:rPr>
                  </w:pPr>
                  <w:r>
                    <w:rPr>
                      <w:sz w:val="21"/>
                      <w:szCs w:val="21"/>
                    </w:rPr>
                    <w:t>产品名称</w:t>
                  </w:r>
                </w:p>
              </w:tc>
              <w:tc>
                <w:tcPr>
                  <w:tcW w:w="2562" w:type="dxa"/>
                  <w:vAlign w:val="center"/>
                </w:tcPr>
                <w:p>
                  <w:pPr>
                    <w:spacing w:line="360" w:lineRule="exact"/>
                    <w:ind w:firstLine="0" w:firstLineChars="0"/>
                    <w:jc w:val="center"/>
                    <w:rPr>
                      <w:sz w:val="21"/>
                      <w:szCs w:val="21"/>
                    </w:rPr>
                  </w:pPr>
                  <w:r>
                    <w:rPr>
                      <w:sz w:val="21"/>
                      <w:szCs w:val="21"/>
                    </w:rPr>
                    <w:t>单位</w:t>
                  </w:r>
                </w:p>
              </w:tc>
              <w:tc>
                <w:tcPr>
                  <w:tcW w:w="2408" w:type="dxa"/>
                  <w:vAlign w:val="center"/>
                </w:tcPr>
                <w:p>
                  <w:pPr>
                    <w:spacing w:line="360" w:lineRule="exact"/>
                    <w:ind w:firstLine="0" w:firstLineChars="0"/>
                    <w:jc w:val="center"/>
                    <w:rPr>
                      <w:sz w:val="21"/>
                      <w:szCs w:val="21"/>
                    </w:rPr>
                  </w:pPr>
                  <w:r>
                    <w:rPr>
                      <w:sz w:val="21"/>
                      <w:szCs w:val="21"/>
                    </w:rPr>
                    <w:t>年生产能力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22" w:type="dxa"/>
                  <w:vAlign w:val="center"/>
                </w:tcPr>
                <w:p>
                  <w:pPr>
                    <w:spacing w:line="360" w:lineRule="exact"/>
                    <w:ind w:firstLine="0" w:firstLineChars="0"/>
                    <w:jc w:val="center"/>
                    <w:rPr>
                      <w:sz w:val="21"/>
                      <w:szCs w:val="21"/>
                    </w:rPr>
                  </w:pPr>
                  <w:r>
                    <w:rPr>
                      <w:sz w:val="21"/>
                      <w:szCs w:val="21"/>
                    </w:rPr>
                    <w:t>1</w:t>
                  </w:r>
                </w:p>
              </w:tc>
              <w:tc>
                <w:tcPr>
                  <w:tcW w:w="2861" w:type="dxa"/>
                  <w:vAlign w:val="center"/>
                </w:tcPr>
                <w:p>
                  <w:pPr>
                    <w:spacing w:line="360" w:lineRule="exact"/>
                    <w:ind w:firstLine="0" w:firstLineChars="0"/>
                    <w:jc w:val="center"/>
                    <w:rPr>
                      <w:sz w:val="21"/>
                      <w:szCs w:val="21"/>
                    </w:rPr>
                  </w:pPr>
                  <w:r>
                    <w:rPr>
                      <w:rFonts w:hint="eastAsia"/>
                      <w:sz w:val="21"/>
                      <w:szCs w:val="21"/>
                    </w:rPr>
                    <w:t>建筑装饰用铝板</w:t>
                  </w:r>
                </w:p>
              </w:tc>
              <w:tc>
                <w:tcPr>
                  <w:tcW w:w="2562" w:type="dxa"/>
                  <w:vAlign w:val="center"/>
                </w:tcPr>
                <w:p>
                  <w:pPr>
                    <w:spacing w:line="360" w:lineRule="exact"/>
                    <w:ind w:firstLine="0" w:firstLineChars="0"/>
                    <w:jc w:val="center"/>
                    <w:rPr>
                      <w:sz w:val="21"/>
                      <w:szCs w:val="21"/>
                    </w:rPr>
                  </w:pPr>
                  <w:r>
                    <w:rPr>
                      <w:rFonts w:hint="eastAsia"/>
                      <w:sz w:val="21"/>
                      <w:szCs w:val="21"/>
                    </w:rPr>
                    <w:t>万平方米</w:t>
                  </w:r>
                  <w:r>
                    <w:rPr>
                      <w:sz w:val="21"/>
                      <w:szCs w:val="21"/>
                    </w:rPr>
                    <w:t>/年</w:t>
                  </w:r>
                </w:p>
              </w:tc>
              <w:tc>
                <w:tcPr>
                  <w:tcW w:w="2408" w:type="dxa"/>
                  <w:vAlign w:val="center"/>
                </w:tcPr>
                <w:p>
                  <w:pPr>
                    <w:spacing w:line="360" w:lineRule="exact"/>
                    <w:ind w:firstLine="0" w:firstLineChars="0"/>
                    <w:jc w:val="center"/>
                    <w:rPr>
                      <w:sz w:val="21"/>
                      <w:szCs w:val="21"/>
                    </w:rPr>
                  </w:pPr>
                  <w:r>
                    <w:rPr>
                      <w:sz w:val="21"/>
                      <w:szCs w:val="21"/>
                    </w:rPr>
                    <w:t>10</w:t>
                  </w:r>
                </w:p>
              </w:tc>
            </w:tr>
          </w:tbl>
          <w:p>
            <w:pPr>
              <w:ind w:firstLine="0" w:firstLineChars="0"/>
              <w:rPr>
                <w:b/>
                <w:bCs/>
              </w:rPr>
            </w:pPr>
            <w:r>
              <w:rPr>
                <w:rFonts w:hint="eastAsia"/>
                <w:b/>
                <w:bCs/>
              </w:rPr>
              <w:t>4</w:t>
            </w:r>
            <w:r>
              <w:rPr>
                <w:b/>
                <w:bCs/>
              </w:rPr>
              <w:t>、主要设备</w:t>
            </w:r>
          </w:p>
          <w:p>
            <w:pPr>
              <w:ind w:firstLine="480"/>
              <w:jc w:val="both"/>
            </w:pPr>
            <w:r>
              <w:t>本项目主要生产设备见表3。</w:t>
            </w:r>
          </w:p>
          <w:p>
            <w:pPr>
              <w:pStyle w:val="7"/>
              <w:rPr>
                <w:sz w:val="21"/>
              </w:rPr>
            </w:pPr>
            <w:r>
              <w:rPr>
                <w:sz w:val="21"/>
              </w:rPr>
              <w:t>主要设备一览表</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18"/>
              <w:gridCol w:w="2924"/>
              <w:gridCol w:w="1598"/>
              <w:gridCol w:w="1444"/>
              <w:gridCol w:w="1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24" w:type="pct"/>
                  <w:vAlign w:val="center"/>
                </w:tcPr>
                <w:p>
                  <w:pPr>
                    <w:spacing w:line="240" w:lineRule="auto"/>
                    <w:ind w:firstLine="0" w:firstLineChars="0"/>
                    <w:jc w:val="center"/>
                    <w:rPr>
                      <w:sz w:val="21"/>
                      <w:szCs w:val="21"/>
                    </w:rPr>
                  </w:pPr>
                  <w:r>
                    <w:rPr>
                      <w:sz w:val="21"/>
                      <w:szCs w:val="21"/>
                    </w:rPr>
                    <w:t>序号</w:t>
                  </w:r>
                </w:p>
              </w:tc>
              <w:tc>
                <w:tcPr>
                  <w:tcW w:w="1632" w:type="pct"/>
                  <w:vAlign w:val="center"/>
                </w:tcPr>
                <w:p>
                  <w:pPr>
                    <w:spacing w:line="240" w:lineRule="auto"/>
                    <w:ind w:firstLine="0" w:firstLineChars="0"/>
                    <w:jc w:val="center"/>
                    <w:rPr>
                      <w:sz w:val="21"/>
                      <w:szCs w:val="21"/>
                    </w:rPr>
                  </w:pPr>
                  <w:r>
                    <w:rPr>
                      <w:sz w:val="21"/>
                      <w:szCs w:val="21"/>
                    </w:rPr>
                    <w:t>设备名称</w:t>
                  </w:r>
                </w:p>
              </w:tc>
              <w:tc>
                <w:tcPr>
                  <w:tcW w:w="892" w:type="pct"/>
                </w:tcPr>
                <w:p>
                  <w:pPr>
                    <w:spacing w:line="240" w:lineRule="auto"/>
                    <w:ind w:firstLine="0" w:firstLineChars="0"/>
                    <w:jc w:val="center"/>
                    <w:rPr>
                      <w:sz w:val="21"/>
                      <w:szCs w:val="21"/>
                    </w:rPr>
                  </w:pPr>
                  <w:r>
                    <w:rPr>
                      <w:rFonts w:hint="eastAsia"/>
                      <w:sz w:val="21"/>
                      <w:szCs w:val="21"/>
                    </w:rPr>
                    <w:t>型号</w:t>
                  </w:r>
                </w:p>
              </w:tc>
              <w:tc>
                <w:tcPr>
                  <w:tcW w:w="806" w:type="pct"/>
                  <w:vAlign w:val="center"/>
                </w:tcPr>
                <w:p>
                  <w:pPr>
                    <w:spacing w:line="240" w:lineRule="auto"/>
                    <w:ind w:firstLine="0" w:firstLineChars="0"/>
                    <w:jc w:val="center"/>
                    <w:rPr>
                      <w:sz w:val="21"/>
                      <w:szCs w:val="21"/>
                    </w:rPr>
                  </w:pPr>
                  <w:r>
                    <w:rPr>
                      <w:sz w:val="21"/>
                      <w:szCs w:val="21"/>
                    </w:rPr>
                    <w:t>单位</w:t>
                  </w:r>
                </w:p>
              </w:tc>
              <w:tc>
                <w:tcPr>
                  <w:tcW w:w="1043" w:type="pct"/>
                  <w:vAlign w:val="center"/>
                </w:tcPr>
                <w:p>
                  <w:pPr>
                    <w:spacing w:line="240" w:lineRule="auto"/>
                    <w:ind w:firstLine="0" w:firstLineChars="0"/>
                    <w:jc w:val="center"/>
                    <w:rPr>
                      <w:sz w:val="21"/>
                      <w:szCs w:val="21"/>
                    </w:rPr>
                  </w:pPr>
                  <w:r>
                    <w:rPr>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sz w:val="21"/>
                      <w:szCs w:val="21"/>
                    </w:rPr>
                    <w:t>1</w:t>
                  </w:r>
                </w:p>
              </w:tc>
              <w:tc>
                <w:tcPr>
                  <w:tcW w:w="1632" w:type="pct"/>
                  <w:vAlign w:val="center"/>
                </w:tcPr>
                <w:p>
                  <w:pPr>
                    <w:spacing w:line="240" w:lineRule="auto"/>
                    <w:ind w:firstLine="0" w:firstLineChars="0"/>
                    <w:jc w:val="center"/>
                    <w:rPr>
                      <w:sz w:val="21"/>
                      <w:szCs w:val="21"/>
                    </w:rPr>
                  </w:pPr>
                  <w:r>
                    <w:rPr>
                      <w:rFonts w:hint="eastAsia"/>
                      <w:sz w:val="21"/>
                      <w:szCs w:val="21"/>
                    </w:rPr>
                    <w:t>剪板机</w:t>
                  </w:r>
                </w:p>
              </w:tc>
              <w:tc>
                <w:tcPr>
                  <w:tcW w:w="892" w:type="pct"/>
                </w:tcPr>
                <w:p>
                  <w:pPr>
                    <w:spacing w:line="240" w:lineRule="auto"/>
                    <w:ind w:firstLine="0" w:firstLineChars="0"/>
                    <w:jc w:val="center"/>
                    <w:rPr>
                      <w:sz w:val="21"/>
                      <w:szCs w:val="21"/>
                    </w:rPr>
                  </w:pPr>
                  <w:r>
                    <w:rPr>
                      <w:rFonts w:hint="eastAsia"/>
                      <w:sz w:val="21"/>
                      <w:szCs w:val="21"/>
                    </w:rPr>
                    <w:t>Q</w:t>
                  </w:r>
                  <w:r>
                    <w:rPr>
                      <w:sz w:val="21"/>
                      <w:szCs w:val="21"/>
                    </w:rPr>
                    <w:t>C12Y-4X400</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sz w:val="21"/>
                      <w:szCs w:val="21"/>
                    </w:rPr>
                    <w:t>2</w:t>
                  </w:r>
                </w:p>
              </w:tc>
              <w:tc>
                <w:tcPr>
                  <w:tcW w:w="1632" w:type="pct"/>
                  <w:vAlign w:val="center"/>
                </w:tcPr>
                <w:p>
                  <w:pPr>
                    <w:autoSpaceDE w:val="0"/>
                    <w:autoSpaceDN w:val="0"/>
                    <w:spacing w:line="240" w:lineRule="auto"/>
                    <w:ind w:firstLine="0" w:firstLineChars="0"/>
                    <w:jc w:val="center"/>
                    <w:rPr>
                      <w:sz w:val="21"/>
                      <w:szCs w:val="21"/>
                    </w:rPr>
                  </w:pPr>
                  <w:r>
                    <w:rPr>
                      <w:rFonts w:hint="eastAsia"/>
                      <w:sz w:val="21"/>
                      <w:szCs w:val="21"/>
                    </w:rPr>
                    <w:t>转塔冲床</w:t>
                  </w:r>
                </w:p>
              </w:tc>
              <w:tc>
                <w:tcPr>
                  <w:tcW w:w="892" w:type="pct"/>
                </w:tcPr>
                <w:p>
                  <w:pPr>
                    <w:spacing w:line="240" w:lineRule="auto"/>
                    <w:ind w:firstLine="0" w:firstLineChars="0"/>
                    <w:jc w:val="center"/>
                    <w:rPr>
                      <w:sz w:val="21"/>
                      <w:szCs w:val="21"/>
                    </w:rPr>
                  </w:pPr>
                  <w:r>
                    <w:rPr>
                      <w:rFonts w:hint="eastAsia"/>
                      <w:sz w:val="21"/>
                      <w:szCs w:val="21"/>
                    </w:rPr>
                    <w:t>大东E</w:t>
                  </w:r>
                  <w:r>
                    <w:rPr>
                      <w:sz w:val="21"/>
                      <w:szCs w:val="21"/>
                    </w:rPr>
                    <w:t>R300</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sz w:val="21"/>
                      <w:szCs w:val="21"/>
                    </w:rPr>
                    <w:t>3</w:t>
                  </w:r>
                </w:p>
              </w:tc>
              <w:tc>
                <w:tcPr>
                  <w:tcW w:w="1632" w:type="pct"/>
                  <w:vAlign w:val="center"/>
                </w:tcPr>
                <w:p>
                  <w:pPr>
                    <w:spacing w:line="240" w:lineRule="auto"/>
                    <w:ind w:firstLine="0" w:firstLineChars="0"/>
                    <w:jc w:val="center"/>
                    <w:rPr>
                      <w:sz w:val="21"/>
                      <w:szCs w:val="21"/>
                    </w:rPr>
                  </w:pPr>
                  <w:r>
                    <w:rPr>
                      <w:rFonts w:hint="eastAsia"/>
                      <w:sz w:val="21"/>
                      <w:szCs w:val="21"/>
                    </w:rPr>
                    <w:t>雕刻机</w:t>
                  </w:r>
                </w:p>
              </w:tc>
              <w:tc>
                <w:tcPr>
                  <w:tcW w:w="892" w:type="pct"/>
                </w:tcPr>
                <w:p>
                  <w:pPr>
                    <w:spacing w:line="240" w:lineRule="auto"/>
                    <w:ind w:firstLine="0" w:firstLineChars="0"/>
                    <w:jc w:val="center"/>
                    <w:rPr>
                      <w:sz w:val="21"/>
                      <w:szCs w:val="21"/>
                    </w:rPr>
                  </w:pPr>
                  <w:r>
                    <w:rPr>
                      <w:rFonts w:hint="eastAsia"/>
                      <w:sz w:val="21"/>
                      <w:szCs w:val="21"/>
                    </w:rPr>
                    <w:t>L</w:t>
                  </w:r>
                  <w:r>
                    <w:rPr>
                      <w:sz w:val="21"/>
                      <w:szCs w:val="21"/>
                    </w:rPr>
                    <w:t>T2005-3</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autoSpaceDE w:val="0"/>
                    <w:autoSpaceDN w:val="0"/>
                    <w:spacing w:line="240" w:lineRule="auto"/>
                    <w:ind w:firstLine="0" w:firstLineChars="0"/>
                    <w:jc w:val="center"/>
                    <w:rPr>
                      <w:sz w:val="21"/>
                      <w:szCs w:val="21"/>
                    </w:rPr>
                  </w:pPr>
                  <w:r>
                    <w:rPr>
                      <w:rFonts w:hint="eastAsia"/>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624" w:type="pct"/>
                  <w:vAlign w:val="center"/>
                </w:tcPr>
                <w:p>
                  <w:pPr>
                    <w:spacing w:line="240" w:lineRule="auto"/>
                    <w:ind w:firstLine="0" w:firstLineChars="0"/>
                    <w:jc w:val="center"/>
                    <w:rPr>
                      <w:sz w:val="21"/>
                      <w:szCs w:val="21"/>
                    </w:rPr>
                  </w:pPr>
                  <w:r>
                    <w:rPr>
                      <w:sz w:val="21"/>
                      <w:szCs w:val="21"/>
                    </w:rPr>
                    <w:t>4</w:t>
                  </w:r>
                </w:p>
              </w:tc>
              <w:tc>
                <w:tcPr>
                  <w:tcW w:w="1632" w:type="pct"/>
                  <w:vAlign w:val="center"/>
                </w:tcPr>
                <w:p>
                  <w:pPr>
                    <w:spacing w:line="240" w:lineRule="auto"/>
                    <w:ind w:firstLine="0" w:firstLineChars="0"/>
                    <w:jc w:val="center"/>
                    <w:rPr>
                      <w:sz w:val="21"/>
                      <w:szCs w:val="21"/>
                    </w:rPr>
                  </w:pPr>
                  <w:r>
                    <w:rPr>
                      <w:rFonts w:hint="eastAsia"/>
                      <w:sz w:val="21"/>
                      <w:szCs w:val="21"/>
                    </w:rPr>
                    <w:t>刨槽机</w:t>
                  </w:r>
                </w:p>
              </w:tc>
              <w:tc>
                <w:tcPr>
                  <w:tcW w:w="892" w:type="pct"/>
                </w:tcPr>
                <w:p>
                  <w:pPr>
                    <w:spacing w:line="240" w:lineRule="auto"/>
                    <w:ind w:firstLine="0" w:firstLineChars="0"/>
                    <w:jc w:val="center"/>
                    <w:rPr>
                      <w:sz w:val="21"/>
                      <w:szCs w:val="21"/>
                    </w:rPr>
                  </w:pPr>
                  <w:r>
                    <w:rPr>
                      <w:rFonts w:hint="eastAsia"/>
                      <w:sz w:val="21"/>
                      <w:szCs w:val="21"/>
                    </w:rPr>
                    <w:t>L</w:t>
                  </w:r>
                  <w:r>
                    <w:rPr>
                      <w:sz w:val="21"/>
                      <w:szCs w:val="21"/>
                    </w:rPr>
                    <w:t>B-971</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sz w:val="21"/>
                      <w:szCs w:val="21"/>
                    </w:rPr>
                    <w:t>5</w:t>
                  </w:r>
                </w:p>
              </w:tc>
              <w:tc>
                <w:tcPr>
                  <w:tcW w:w="1632" w:type="pct"/>
                  <w:vAlign w:val="center"/>
                </w:tcPr>
                <w:p>
                  <w:pPr>
                    <w:spacing w:line="240" w:lineRule="auto"/>
                    <w:ind w:firstLine="0" w:firstLineChars="0"/>
                    <w:jc w:val="center"/>
                    <w:rPr>
                      <w:sz w:val="21"/>
                      <w:szCs w:val="21"/>
                    </w:rPr>
                  </w:pPr>
                  <w:r>
                    <w:rPr>
                      <w:rFonts w:hint="eastAsia"/>
                      <w:sz w:val="21"/>
                      <w:szCs w:val="21"/>
                    </w:rPr>
                    <w:t>折弯机</w:t>
                  </w:r>
                </w:p>
              </w:tc>
              <w:tc>
                <w:tcPr>
                  <w:tcW w:w="892" w:type="pct"/>
                </w:tcPr>
                <w:p>
                  <w:pPr>
                    <w:spacing w:line="240" w:lineRule="auto"/>
                    <w:ind w:firstLine="0" w:firstLineChars="0"/>
                    <w:jc w:val="center"/>
                    <w:rPr>
                      <w:sz w:val="21"/>
                      <w:szCs w:val="21"/>
                    </w:rPr>
                  </w:pPr>
                  <w:r>
                    <w:rPr>
                      <w:rFonts w:hint="eastAsia"/>
                      <w:sz w:val="21"/>
                      <w:szCs w:val="21"/>
                    </w:rPr>
                    <w:t>5</w:t>
                  </w:r>
                  <w:r>
                    <w:rPr>
                      <w:sz w:val="21"/>
                      <w:szCs w:val="21"/>
                    </w:rPr>
                    <w:t>10040</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sz w:val="21"/>
                      <w:szCs w:val="21"/>
                    </w:rPr>
                    <w:t>6</w:t>
                  </w:r>
                </w:p>
              </w:tc>
              <w:tc>
                <w:tcPr>
                  <w:tcW w:w="1632" w:type="pct"/>
                  <w:vAlign w:val="center"/>
                </w:tcPr>
                <w:p>
                  <w:pPr>
                    <w:spacing w:line="240" w:lineRule="auto"/>
                    <w:ind w:firstLine="0" w:firstLineChars="0"/>
                    <w:jc w:val="center"/>
                    <w:rPr>
                      <w:sz w:val="21"/>
                      <w:szCs w:val="21"/>
                    </w:rPr>
                  </w:pPr>
                  <w:r>
                    <w:rPr>
                      <w:rFonts w:hint="eastAsia"/>
                      <w:sz w:val="21"/>
                      <w:szCs w:val="21"/>
                    </w:rPr>
                    <w:t>卷板机</w:t>
                  </w:r>
                </w:p>
              </w:tc>
              <w:tc>
                <w:tcPr>
                  <w:tcW w:w="892" w:type="pct"/>
                </w:tcPr>
                <w:p>
                  <w:pPr>
                    <w:spacing w:line="240" w:lineRule="auto"/>
                    <w:ind w:firstLine="0" w:firstLineChars="0"/>
                    <w:jc w:val="center"/>
                    <w:rPr>
                      <w:sz w:val="21"/>
                      <w:szCs w:val="21"/>
                    </w:rPr>
                  </w:pPr>
                  <w:r>
                    <w:rPr>
                      <w:rFonts w:hint="eastAsia"/>
                      <w:sz w:val="21"/>
                      <w:szCs w:val="21"/>
                    </w:rPr>
                    <w:t>W</w:t>
                  </w:r>
                  <w:r>
                    <w:rPr>
                      <w:sz w:val="21"/>
                      <w:szCs w:val="21"/>
                    </w:rPr>
                    <w:t>11-4X400</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7</w:t>
                  </w:r>
                </w:p>
              </w:tc>
              <w:tc>
                <w:tcPr>
                  <w:tcW w:w="1632" w:type="pct"/>
                  <w:vAlign w:val="center"/>
                </w:tcPr>
                <w:p>
                  <w:pPr>
                    <w:spacing w:line="240" w:lineRule="auto"/>
                    <w:ind w:firstLine="0" w:firstLineChars="0"/>
                    <w:jc w:val="center"/>
                    <w:rPr>
                      <w:sz w:val="21"/>
                      <w:szCs w:val="21"/>
                    </w:rPr>
                  </w:pPr>
                  <w:r>
                    <w:rPr>
                      <w:rFonts w:hint="eastAsia"/>
                      <w:sz w:val="21"/>
                      <w:szCs w:val="21"/>
                    </w:rPr>
                    <w:t>冲床</w:t>
                  </w:r>
                </w:p>
              </w:tc>
              <w:tc>
                <w:tcPr>
                  <w:tcW w:w="892" w:type="pct"/>
                </w:tcPr>
                <w:p>
                  <w:pPr>
                    <w:spacing w:line="240" w:lineRule="auto"/>
                    <w:ind w:firstLine="0" w:firstLineChars="0"/>
                    <w:jc w:val="center"/>
                    <w:rPr>
                      <w:sz w:val="21"/>
                      <w:szCs w:val="21"/>
                    </w:rPr>
                  </w:pPr>
                  <w:r>
                    <w:rPr>
                      <w:rFonts w:hint="eastAsia"/>
                      <w:sz w:val="21"/>
                      <w:szCs w:val="21"/>
                    </w:rPr>
                    <w:t>J</w:t>
                  </w:r>
                  <w:r>
                    <w:rPr>
                      <w:sz w:val="21"/>
                      <w:szCs w:val="21"/>
                    </w:rPr>
                    <w:t>B16T</w:t>
                  </w:r>
                </w:p>
              </w:tc>
              <w:tc>
                <w:tcPr>
                  <w:tcW w:w="806" w:type="pct"/>
                  <w:vAlign w:val="center"/>
                </w:tcPr>
                <w:p>
                  <w:pPr>
                    <w:spacing w:line="240" w:lineRule="auto"/>
                    <w:ind w:firstLine="0" w:firstLineChars="0"/>
                    <w:jc w:val="center"/>
                    <w:rPr>
                      <w:sz w:val="21"/>
                      <w:szCs w:val="21"/>
                    </w:rPr>
                  </w:pPr>
                  <w:r>
                    <w:rPr>
                      <w:rFonts w:hint="eastAsia"/>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8</w:t>
                  </w:r>
                </w:p>
              </w:tc>
              <w:tc>
                <w:tcPr>
                  <w:tcW w:w="1632" w:type="pct"/>
                  <w:vAlign w:val="center"/>
                </w:tcPr>
                <w:p>
                  <w:pPr>
                    <w:spacing w:line="240" w:lineRule="auto"/>
                    <w:ind w:firstLine="0" w:firstLineChars="0"/>
                    <w:jc w:val="center"/>
                    <w:rPr>
                      <w:sz w:val="21"/>
                      <w:szCs w:val="21"/>
                    </w:rPr>
                  </w:pPr>
                  <w:r>
                    <w:rPr>
                      <w:rFonts w:hint="eastAsia"/>
                      <w:sz w:val="21"/>
                      <w:szCs w:val="21"/>
                    </w:rPr>
                    <w:t>冲床</w:t>
                  </w:r>
                </w:p>
              </w:tc>
              <w:tc>
                <w:tcPr>
                  <w:tcW w:w="892" w:type="pct"/>
                </w:tcPr>
                <w:p>
                  <w:pPr>
                    <w:spacing w:line="240" w:lineRule="auto"/>
                    <w:ind w:firstLine="0" w:firstLineChars="0"/>
                    <w:jc w:val="center"/>
                    <w:rPr>
                      <w:sz w:val="21"/>
                      <w:szCs w:val="21"/>
                    </w:rPr>
                  </w:pPr>
                  <w:r>
                    <w:rPr>
                      <w:rFonts w:hint="eastAsia"/>
                      <w:sz w:val="21"/>
                      <w:szCs w:val="21"/>
                    </w:rPr>
                    <w:t>J</w:t>
                  </w:r>
                  <w:r>
                    <w:rPr>
                      <w:sz w:val="21"/>
                      <w:szCs w:val="21"/>
                    </w:rPr>
                    <w:t>B25T</w:t>
                  </w:r>
                </w:p>
              </w:tc>
              <w:tc>
                <w:tcPr>
                  <w:tcW w:w="806" w:type="pct"/>
                  <w:vAlign w:val="center"/>
                </w:tcPr>
                <w:p>
                  <w:pPr>
                    <w:spacing w:line="240" w:lineRule="auto"/>
                    <w:ind w:firstLine="0" w:firstLineChars="0"/>
                    <w:jc w:val="center"/>
                    <w:rPr>
                      <w:sz w:val="21"/>
                      <w:szCs w:val="21"/>
                    </w:rPr>
                  </w:pPr>
                  <w:r>
                    <w:rPr>
                      <w:rFonts w:hint="eastAsia"/>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9</w:t>
                  </w:r>
                </w:p>
              </w:tc>
              <w:tc>
                <w:tcPr>
                  <w:tcW w:w="1632" w:type="pct"/>
                  <w:vAlign w:val="center"/>
                </w:tcPr>
                <w:p>
                  <w:pPr>
                    <w:spacing w:line="240" w:lineRule="auto"/>
                    <w:ind w:firstLine="0" w:firstLineChars="0"/>
                    <w:jc w:val="center"/>
                    <w:rPr>
                      <w:sz w:val="21"/>
                      <w:szCs w:val="21"/>
                    </w:rPr>
                  </w:pPr>
                  <w:r>
                    <w:rPr>
                      <w:rFonts w:hint="eastAsia"/>
                      <w:sz w:val="21"/>
                      <w:szCs w:val="21"/>
                    </w:rPr>
                    <w:t>切割锯</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w:t>
                  </w:r>
                  <w:r>
                    <w:rPr>
                      <w:sz w:val="21"/>
                      <w:szCs w:val="21"/>
                    </w:rPr>
                    <w:t>0</w:t>
                  </w:r>
                </w:p>
              </w:tc>
              <w:tc>
                <w:tcPr>
                  <w:tcW w:w="1632" w:type="pct"/>
                  <w:vAlign w:val="center"/>
                </w:tcPr>
                <w:p>
                  <w:pPr>
                    <w:spacing w:line="240" w:lineRule="auto"/>
                    <w:ind w:firstLine="0" w:firstLineChars="0"/>
                    <w:jc w:val="center"/>
                    <w:rPr>
                      <w:sz w:val="21"/>
                      <w:szCs w:val="21"/>
                    </w:rPr>
                  </w:pPr>
                  <w:r>
                    <w:rPr>
                      <w:rFonts w:hint="eastAsia"/>
                      <w:sz w:val="21"/>
                      <w:szCs w:val="21"/>
                    </w:rPr>
                    <w:t>焊接机</w:t>
                  </w:r>
                </w:p>
              </w:tc>
              <w:tc>
                <w:tcPr>
                  <w:tcW w:w="892" w:type="pct"/>
                </w:tcPr>
                <w:p>
                  <w:pPr>
                    <w:spacing w:line="240" w:lineRule="auto"/>
                    <w:ind w:firstLine="0" w:firstLineChars="0"/>
                    <w:jc w:val="center"/>
                    <w:rPr>
                      <w:sz w:val="21"/>
                      <w:szCs w:val="21"/>
                    </w:rPr>
                  </w:pPr>
                  <w:r>
                    <w:rPr>
                      <w:rFonts w:hint="eastAsia"/>
                      <w:sz w:val="21"/>
                      <w:szCs w:val="21"/>
                    </w:rPr>
                    <w:t>T</w:t>
                  </w:r>
                  <w:r>
                    <w:rPr>
                      <w:sz w:val="21"/>
                      <w:szCs w:val="21"/>
                    </w:rPr>
                    <w:t>1G315PACDC</w:t>
                  </w:r>
                </w:p>
              </w:tc>
              <w:tc>
                <w:tcPr>
                  <w:tcW w:w="806" w:type="pct"/>
                  <w:vAlign w:val="center"/>
                </w:tcPr>
                <w:p>
                  <w:pPr>
                    <w:spacing w:line="240" w:lineRule="auto"/>
                    <w:ind w:firstLine="0" w:firstLineChars="0"/>
                    <w:jc w:val="center"/>
                    <w:rPr>
                      <w:sz w:val="21"/>
                      <w:szCs w:val="21"/>
                    </w:rPr>
                  </w:pPr>
                  <w:r>
                    <w:rPr>
                      <w:rFonts w:hint="eastAsia"/>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11</w:t>
                  </w:r>
                </w:p>
              </w:tc>
              <w:tc>
                <w:tcPr>
                  <w:tcW w:w="1632" w:type="pct"/>
                  <w:vAlign w:val="center"/>
                </w:tcPr>
                <w:p>
                  <w:pPr>
                    <w:spacing w:line="240" w:lineRule="auto"/>
                    <w:ind w:firstLine="0" w:firstLineChars="0"/>
                    <w:jc w:val="center"/>
                    <w:rPr>
                      <w:sz w:val="21"/>
                      <w:szCs w:val="21"/>
                    </w:rPr>
                  </w:pPr>
                  <w:r>
                    <w:rPr>
                      <w:rFonts w:hint="eastAsia"/>
                      <w:sz w:val="21"/>
                      <w:szCs w:val="21"/>
                    </w:rPr>
                    <w:t>螺柱焊机</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12</w:t>
                  </w:r>
                </w:p>
              </w:tc>
              <w:tc>
                <w:tcPr>
                  <w:tcW w:w="1632" w:type="pct"/>
                  <w:vAlign w:val="center"/>
                </w:tcPr>
                <w:p>
                  <w:pPr>
                    <w:spacing w:line="240" w:lineRule="auto"/>
                    <w:ind w:firstLine="0" w:firstLineChars="0"/>
                    <w:jc w:val="center"/>
                    <w:rPr>
                      <w:sz w:val="21"/>
                      <w:szCs w:val="21"/>
                    </w:rPr>
                  </w:pPr>
                  <w:r>
                    <w:rPr>
                      <w:rFonts w:hint="eastAsia"/>
                      <w:sz w:val="21"/>
                      <w:szCs w:val="21"/>
                    </w:rPr>
                    <w:t>空气压缩机</w:t>
                  </w:r>
                </w:p>
              </w:tc>
              <w:tc>
                <w:tcPr>
                  <w:tcW w:w="892" w:type="pct"/>
                </w:tcPr>
                <w:p>
                  <w:pPr>
                    <w:spacing w:line="240" w:lineRule="auto"/>
                    <w:ind w:firstLine="0" w:firstLineChars="0"/>
                    <w:jc w:val="center"/>
                    <w:rPr>
                      <w:sz w:val="21"/>
                      <w:szCs w:val="21"/>
                    </w:rPr>
                  </w:pPr>
                  <w:r>
                    <w:rPr>
                      <w:rFonts w:hint="eastAsia"/>
                      <w:sz w:val="21"/>
                      <w:szCs w:val="21"/>
                    </w:rPr>
                    <w:t>X</w:t>
                  </w:r>
                  <w:r>
                    <w:rPr>
                      <w:sz w:val="21"/>
                      <w:szCs w:val="21"/>
                    </w:rPr>
                    <w:t>S-3018</w:t>
                  </w:r>
                </w:p>
              </w:tc>
              <w:tc>
                <w:tcPr>
                  <w:tcW w:w="806" w:type="pct"/>
                  <w:vAlign w:val="center"/>
                </w:tcPr>
                <w:p>
                  <w:pPr>
                    <w:spacing w:line="240" w:lineRule="auto"/>
                    <w:ind w:firstLine="0" w:firstLineChars="0"/>
                    <w:jc w:val="center"/>
                    <w:rPr>
                      <w:sz w:val="21"/>
                      <w:szCs w:val="21"/>
                    </w:rPr>
                  </w:pPr>
                  <w:r>
                    <w:rPr>
                      <w:rFonts w:hint="eastAsia"/>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13</w:t>
                  </w:r>
                </w:p>
              </w:tc>
              <w:tc>
                <w:tcPr>
                  <w:tcW w:w="1632" w:type="pct"/>
                  <w:vAlign w:val="center"/>
                </w:tcPr>
                <w:p>
                  <w:pPr>
                    <w:spacing w:line="240" w:lineRule="auto"/>
                    <w:ind w:firstLine="0" w:firstLineChars="0"/>
                    <w:jc w:val="center"/>
                    <w:rPr>
                      <w:sz w:val="21"/>
                      <w:szCs w:val="21"/>
                    </w:rPr>
                  </w:pPr>
                  <w:r>
                    <w:rPr>
                      <w:rFonts w:hint="eastAsia"/>
                      <w:sz w:val="21"/>
                      <w:szCs w:val="21"/>
                    </w:rPr>
                    <w:t>磨光机</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把</w:t>
                  </w:r>
                </w:p>
              </w:tc>
              <w:tc>
                <w:tcPr>
                  <w:tcW w:w="1043" w:type="pct"/>
                  <w:vAlign w:val="center"/>
                </w:tcPr>
                <w:p>
                  <w:pPr>
                    <w:spacing w:line="240" w:lineRule="auto"/>
                    <w:ind w:firstLine="0" w:firstLineChars="0"/>
                    <w:jc w:val="center"/>
                    <w:rPr>
                      <w:sz w:val="21"/>
                      <w:szCs w:val="21"/>
                    </w:rPr>
                  </w:pPr>
                  <w:r>
                    <w:rPr>
                      <w:rFonts w:hint="eastAsia"/>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14</w:t>
                  </w:r>
                </w:p>
              </w:tc>
              <w:tc>
                <w:tcPr>
                  <w:tcW w:w="1632" w:type="pct"/>
                  <w:vAlign w:val="center"/>
                </w:tcPr>
                <w:p>
                  <w:pPr>
                    <w:spacing w:line="240" w:lineRule="auto"/>
                    <w:ind w:firstLine="0" w:firstLineChars="0"/>
                    <w:jc w:val="center"/>
                    <w:rPr>
                      <w:sz w:val="21"/>
                      <w:szCs w:val="21"/>
                    </w:rPr>
                  </w:pPr>
                  <w:r>
                    <w:rPr>
                      <w:rFonts w:hint="eastAsia"/>
                      <w:sz w:val="21"/>
                      <w:szCs w:val="21"/>
                    </w:rPr>
                    <w:t>铆钉枪</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把</w:t>
                  </w:r>
                </w:p>
              </w:tc>
              <w:tc>
                <w:tcPr>
                  <w:tcW w:w="1043" w:type="pct"/>
                  <w:vAlign w:val="center"/>
                </w:tcPr>
                <w:p>
                  <w:pPr>
                    <w:spacing w:line="240" w:lineRule="auto"/>
                    <w:ind w:firstLine="0" w:firstLineChars="0"/>
                    <w:jc w:val="center"/>
                    <w:rPr>
                      <w:sz w:val="21"/>
                      <w:szCs w:val="21"/>
                    </w:rPr>
                  </w:pPr>
                  <w:r>
                    <w:rPr>
                      <w:rFonts w:hint="eastAsia"/>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15</w:t>
                  </w:r>
                </w:p>
              </w:tc>
              <w:tc>
                <w:tcPr>
                  <w:tcW w:w="1632" w:type="pct"/>
                  <w:vAlign w:val="center"/>
                </w:tcPr>
                <w:p>
                  <w:pPr>
                    <w:spacing w:line="240" w:lineRule="auto"/>
                    <w:ind w:firstLine="0" w:firstLineChars="0"/>
                    <w:jc w:val="center"/>
                    <w:rPr>
                      <w:sz w:val="21"/>
                      <w:szCs w:val="21"/>
                    </w:rPr>
                  </w:pPr>
                  <w:r>
                    <w:rPr>
                      <w:rFonts w:hint="eastAsia"/>
                      <w:sz w:val="21"/>
                      <w:szCs w:val="21"/>
                    </w:rPr>
                    <w:t>抛光机</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把</w:t>
                  </w:r>
                </w:p>
              </w:tc>
              <w:tc>
                <w:tcPr>
                  <w:tcW w:w="1043" w:type="pct"/>
                  <w:vAlign w:val="center"/>
                </w:tcPr>
                <w:p>
                  <w:pPr>
                    <w:spacing w:line="240" w:lineRule="auto"/>
                    <w:ind w:firstLine="0" w:firstLineChars="0"/>
                    <w:jc w:val="center"/>
                    <w:rPr>
                      <w:sz w:val="21"/>
                      <w:szCs w:val="21"/>
                    </w:rPr>
                  </w:pPr>
                  <w:r>
                    <w:rPr>
                      <w:rFonts w:hint="eastAsia"/>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16</w:t>
                  </w:r>
                </w:p>
              </w:tc>
              <w:tc>
                <w:tcPr>
                  <w:tcW w:w="1632" w:type="pct"/>
                  <w:vAlign w:val="center"/>
                </w:tcPr>
                <w:p>
                  <w:pPr>
                    <w:spacing w:line="240" w:lineRule="auto"/>
                    <w:ind w:firstLine="0" w:firstLineChars="0"/>
                    <w:jc w:val="center"/>
                    <w:rPr>
                      <w:sz w:val="21"/>
                      <w:szCs w:val="21"/>
                    </w:rPr>
                  </w:pPr>
                  <w:r>
                    <w:rPr>
                      <w:rFonts w:hint="eastAsia"/>
                      <w:sz w:val="21"/>
                      <w:szCs w:val="21"/>
                    </w:rPr>
                    <w:t>滚弧机</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sz w:val="21"/>
                      <w:szCs w:val="21"/>
                    </w:rPr>
                    <w:t>台</w:t>
                  </w:r>
                </w:p>
              </w:tc>
              <w:tc>
                <w:tcPr>
                  <w:tcW w:w="1043" w:type="pct"/>
                  <w:vAlign w:val="center"/>
                </w:tcPr>
                <w:p>
                  <w:pPr>
                    <w:spacing w:line="240" w:lineRule="auto"/>
                    <w:ind w:firstLine="0" w:firstLineChars="0"/>
                    <w:jc w:val="center"/>
                    <w:rPr>
                      <w:sz w:val="21"/>
                      <w:szCs w:val="21"/>
                    </w:rPr>
                  </w:pPr>
                  <w:r>
                    <w:rPr>
                      <w:rFonts w:hint="eastAsia"/>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17</w:t>
                  </w:r>
                </w:p>
              </w:tc>
              <w:tc>
                <w:tcPr>
                  <w:tcW w:w="1632" w:type="pct"/>
                  <w:vAlign w:val="center"/>
                </w:tcPr>
                <w:p>
                  <w:pPr>
                    <w:spacing w:line="240" w:lineRule="auto"/>
                    <w:ind w:firstLine="0" w:firstLineChars="0"/>
                    <w:jc w:val="center"/>
                    <w:rPr>
                      <w:sz w:val="21"/>
                      <w:szCs w:val="21"/>
                    </w:rPr>
                  </w:pPr>
                  <w:r>
                    <w:rPr>
                      <w:rFonts w:hint="eastAsia"/>
                      <w:sz w:val="21"/>
                      <w:szCs w:val="21"/>
                    </w:rPr>
                    <w:t>电钻</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把</w:t>
                  </w:r>
                </w:p>
              </w:tc>
              <w:tc>
                <w:tcPr>
                  <w:tcW w:w="1043" w:type="pct"/>
                  <w:vAlign w:val="center"/>
                </w:tcPr>
                <w:p>
                  <w:pPr>
                    <w:spacing w:line="240" w:lineRule="auto"/>
                    <w:ind w:firstLine="0" w:firstLineChars="0"/>
                    <w:jc w:val="center"/>
                    <w:rPr>
                      <w:sz w:val="21"/>
                      <w:szCs w:val="21"/>
                    </w:rPr>
                  </w:pPr>
                  <w:r>
                    <w:rPr>
                      <w:rFonts w:hint="eastAsia"/>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18</w:t>
                  </w:r>
                </w:p>
              </w:tc>
              <w:tc>
                <w:tcPr>
                  <w:tcW w:w="1632" w:type="pct"/>
                  <w:vAlign w:val="center"/>
                </w:tcPr>
                <w:p>
                  <w:pPr>
                    <w:spacing w:line="240" w:lineRule="auto"/>
                    <w:ind w:firstLine="0" w:firstLineChars="0"/>
                    <w:jc w:val="center"/>
                    <w:rPr>
                      <w:sz w:val="21"/>
                      <w:szCs w:val="21"/>
                    </w:rPr>
                  </w:pPr>
                  <w:r>
                    <w:rPr>
                      <w:rFonts w:hint="eastAsia"/>
                      <w:sz w:val="21"/>
                      <w:szCs w:val="21"/>
                    </w:rPr>
                    <w:t>手持打孔机</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把</w:t>
                  </w:r>
                </w:p>
              </w:tc>
              <w:tc>
                <w:tcPr>
                  <w:tcW w:w="1043" w:type="pct"/>
                  <w:vAlign w:val="center"/>
                </w:tcPr>
                <w:p>
                  <w:pPr>
                    <w:spacing w:line="240" w:lineRule="auto"/>
                    <w:ind w:firstLine="0" w:firstLineChars="0"/>
                    <w:jc w:val="center"/>
                    <w:rPr>
                      <w:sz w:val="21"/>
                      <w:szCs w:val="21"/>
                    </w:rPr>
                  </w:pPr>
                  <w:r>
                    <w:rPr>
                      <w:rFonts w:hint="eastAsia"/>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624" w:type="pct"/>
                  <w:vAlign w:val="center"/>
                </w:tcPr>
                <w:p>
                  <w:pPr>
                    <w:spacing w:line="240" w:lineRule="auto"/>
                    <w:ind w:firstLine="0" w:firstLineChars="0"/>
                    <w:jc w:val="center"/>
                    <w:rPr>
                      <w:sz w:val="21"/>
                      <w:szCs w:val="21"/>
                    </w:rPr>
                  </w:pPr>
                  <w:r>
                    <w:rPr>
                      <w:rFonts w:hint="eastAsia"/>
                      <w:sz w:val="21"/>
                      <w:szCs w:val="21"/>
                    </w:rPr>
                    <w:t>19</w:t>
                  </w:r>
                </w:p>
              </w:tc>
              <w:tc>
                <w:tcPr>
                  <w:tcW w:w="1632" w:type="pct"/>
                  <w:vAlign w:val="center"/>
                </w:tcPr>
                <w:p>
                  <w:pPr>
                    <w:spacing w:line="240" w:lineRule="auto"/>
                    <w:ind w:firstLine="0" w:firstLineChars="0"/>
                    <w:jc w:val="center"/>
                    <w:rPr>
                      <w:sz w:val="21"/>
                      <w:szCs w:val="21"/>
                    </w:rPr>
                  </w:pPr>
                  <w:r>
                    <w:rPr>
                      <w:rFonts w:hint="eastAsia"/>
                      <w:sz w:val="21"/>
                      <w:szCs w:val="21"/>
                    </w:rPr>
                    <w:t>手持刨槽机</w:t>
                  </w:r>
                </w:p>
              </w:tc>
              <w:tc>
                <w:tcPr>
                  <w:tcW w:w="892" w:type="pct"/>
                </w:tcPr>
                <w:p>
                  <w:pPr>
                    <w:spacing w:line="240" w:lineRule="auto"/>
                    <w:ind w:firstLine="0" w:firstLineChars="0"/>
                    <w:jc w:val="center"/>
                    <w:rPr>
                      <w:sz w:val="21"/>
                      <w:szCs w:val="21"/>
                    </w:rPr>
                  </w:pPr>
                  <w:r>
                    <w:rPr>
                      <w:rFonts w:hint="eastAsia"/>
                      <w:sz w:val="21"/>
                      <w:szCs w:val="21"/>
                    </w:rPr>
                    <w:t>/</w:t>
                  </w:r>
                </w:p>
              </w:tc>
              <w:tc>
                <w:tcPr>
                  <w:tcW w:w="806" w:type="pct"/>
                  <w:vAlign w:val="center"/>
                </w:tcPr>
                <w:p>
                  <w:pPr>
                    <w:spacing w:line="240" w:lineRule="auto"/>
                    <w:ind w:firstLine="0" w:firstLineChars="0"/>
                    <w:jc w:val="center"/>
                    <w:rPr>
                      <w:sz w:val="21"/>
                      <w:szCs w:val="21"/>
                    </w:rPr>
                  </w:pPr>
                  <w:r>
                    <w:rPr>
                      <w:rFonts w:hint="eastAsia"/>
                      <w:sz w:val="21"/>
                      <w:szCs w:val="21"/>
                    </w:rPr>
                    <w:t>把</w:t>
                  </w:r>
                </w:p>
              </w:tc>
              <w:tc>
                <w:tcPr>
                  <w:tcW w:w="1043" w:type="pct"/>
                  <w:vAlign w:val="center"/>
                </w:tcPr>
                <w:p>
                  <w:pPr>
                    <w:spacing w:line="240" w:lineRule="auto"/>
                    <w:ind w:firstLine="0" w:firstLineChars="0"/>
                    <w:jc w:val="center"/>
                    <w:rPr>
                      <w:sz w:val="21"/>
                      <w:szCs w:val="21"/>
                    </w:rPr>
                  </w:pPr>
                  <w:r>
                    <w:rPr>
                      <w:rFonts w:hint="eastAsia"/>
                      <w:sz w:val="21"/>
                      <w:szCs w:val="21"/>
                    </w:rPr>
                    <w:t>1</w:t>
                  </w:r>
                </w:p>
              </w:tc>
            </w:tr>
          </w:tbl>
          <w:p>
            <w:pPr>
              <w:ind w:firstLine="480"/>
            </w:pPr>
            <w:r>
              <w:t>本项目所有设备均未列入《淘汰落后生产能力、工艺和产品的目录（全三批）》、工信部《部分工业行业淘汰落后生产工艺装备和产品指导目录（2010年本）》。</w:t>
            </w:r>
          </w:p>
          <w:p>
            <w:pPr>
              <w:ind w:firstLine="0" w:firstLineChars="0"/>
              <w:jc w:val="both"/>
              <w:rPr>
                <w:b/>
                <w:bCs/>
              </w:rPr>
            </w:pPr>
            <w:r>
              <w:rPr>
                <w:b/>
                <w:bCs/>
              </w:rPr>
              <w:t>5、主要原辅材料及能源消耗</w:t>
            </w:r>
          </w:p>
          <w:p>
            <w:pPr>
              <w:ind w:firstLine="480"/>
            </w:pPr>
            <w:r>
              <w:t>生产过程中使用的主要原辅材料及能源消耗情况见表4。</w:t>
            </w:r>
          </w:p>
          <w:p>
            <w:pPr>
              <w:pStyle w:val="7"/>
              <w:rPr>
                <w:sz w:val="21"/>
              </w:rPr>
            </w:pPr>
            <w:r>
              <w:rPr>
                <w:sz w:val="21"/>
              </w:rPr>
              <w:t>主要原辅材料机能源消耗一览表</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2052"/>
              <w:gridCol w:w="1780"/>
              <w:gridCol w:w="1560"/>
              <w:gridCol w:w="25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43" w:type="pct"/>
                  <w:vAlign w:val="center"/>
                </w:tcPr>
                <w:p>
                  <w:pPr>
                    <w:spacing w:line="240" w:lineRule="auto"/>
                    <w:ind w:firstLine="0" w:firstLineChars="0"/>
                    <w:jc w:val="center"/>
                    <w:rPr>
                      <w:sz w:val="21"/>
                      <w:szCs w:val="21"/>
                    </w:rPr>
                  </w:pPr>
                  <w:r>
                    <w:rPr>
                      <w:sz w:val="21"/>
                      <w:szCs w:val="21"/>
                    </w:rPr>
                    <w:t>序号</w:t>
                  </w:r>
                </w:p>
              </w:tc>
              <w:tc>
                <w:tcPr>
                  <w:tcW w:w="1146" w:type="pct"/>
                  <w:vAlign w:val="center"/>
                </w:tcPr>
                <w:p>
                  <w:pPr>
                    <w:spacing w:line="240" w:lineRule="auto"/>
                    <w:ind w:firstLine="0" w:firstLineChars="0"/>
                    <w:jc w:val="center"/>
                    <w:rPr>
                      <w:sz w:val="21"/>
                      <w:szCs w:val="21"/>
                    </w:rPr>
                  </w:pPr>
                  <w:r>
                    <w:rPr>
                      <w:sz w:val="21"/>
                      <w:szCs w:val="21"/>
                    </w:rPr>
                    <w:t>名称</w:t>
                  </w:r>
                </w:p>
              </w:tc>
              <w:tc>
                <w:tcPr>
                  <w:tcW w:w="994" w:type="pct"/>
                  <w:vAlign w:val="center"/>
                </w:tcPr>
                <w:p>
                  <w:pPr>
                    <w:spacing w:line="240" w:lineRule="auto"/>
                    <w:ind w:firstLine="0" w:firstLineChars="0"/>
                    <w:jc w:val="center"/>
                    <w:rPr>
                      <w:sz w:val="21"/>
                      <w:szCs w:val="21"/>
                    </w:rPr>
                  </w:pPr>
                  <w:r>
                    <w:rPr>
                      <w:sz w:val="21"/>
                      <w:szCs w:val="21"/>
                    </w:rPr>
                    <w:t>单位</w:t>
                  </w:r>
                </w:p>
              </w:tc>
              <w:tc>
                <w:tcPr>
                  <w:tcW w:w="871" w:type="pct"/>
                  <w:vAlign w:val="center"/>
                </w:tcPr>
                <w:p>
                  <w:pPr>
                    <w:spacing w:line="240" w:lineRule="auto"/>
                    <w:ind w:firstLine="0" w:firstLineChars="0"/>
                    <w:jc w:val="center"/>
                    <w:rPr>
                      <w:sz w:val="21"/>
                      <w:szCs w:val="21"/>
                    </w:rPr>
                  </w:pPr>
                  <w:r>
                    <w:rPr>
                      <w:sz w:val="21"/>
                      <w:szCs w:val="21"/>
                    </w:rPr>
                    <w:t>年用量</w:t>
                  </w:r>
                </w:p>
              </w:tc>
              <w:tc>
                <w:tcPr>
                  <w:tcW w:w="1446" w:type="pct"/>
                  <w:vAlign w:val="center"/>
                </w:tcPr>
                <w:p>
                  <w:pPr>
                    <w:spacing w:line="240" w:lineRule="auto"/>
                    <w:ind w:firstLine="0" w:firstLineChars="0"/>
                    <w:jc w:val="center"/>
                    <w:rPr>
                      <w:sz w:val="21"/>
                      <w:szCs w:val="21"/>
                    </w:rPr>
                  </w:pPr>
                  <w:r>
                    <w:rPr>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3" w:type="pct"/>
                  <w:vAlign w:val="center"/>
                </w:tcPr>
                <w:p>
                  <w:pPr>
                    <w:spacing w:line="240" w:lineRule="auto"/>
                    <w:ind w:firstLine="0" w:firstLineChars="0"/>
                    <w:jc w:val="center"/>
                    <w:rPr>
                      <w:sz w:val="21"/>
                      <w:szCs w:val="21"/>
                    </w:rPr>
                  </w:pPr>
                  <w:r>
                    <w:rPr>
                      <w:sz w:val="21"/>
                      <w:szCs w:val="21"/>
                    </w:rPr>
                    <w:t>1</w:t>
                  </w:r>
                </w:p>
              </w:tc>
              <w:tc>
                <w:tcPr>
                  <w:tcW w:w="1146" w:type="pct"/>
                  <w:vAlign w:val="center"/>
                </w:tcPr>
                <w:p>
                  <w:pPr>
                    <w:spacing w:line="240" w:lineRule="auto"/>
                    <w:ind w:firstLine="0" w:firstLineChars="0"/>
                    <w:jc w:val="center"/>
                    <w:rPr>
                      <w:sz w:val="21"/>
                      <w:szCs w:val="21"/>
                    </w:rPr>
                  </w:pPr>
                  <w:r>
                    <w:rPr>
                      <w:rFonts w:hint="eastAsia"/>
                      <w:sz w:val="21"/>
                      <w:szCs w:val="21"/>
                    </w:rPr>
                    <w:t>铝板</w:t>
                  </w:r>
                </w:p>
              </w:tc>
              <w:tc>
                <w:tcPr>
                  <w:tcW w:w="994" w:type="pct"/>
                  <w:vAlign w:val="center"/>
                </w:tcPr>
                <w:p>
                  <w:pPr>
                    <w:spacing w:line="240" w:lineRule="auto"/>
                    <w:ind w:firstLine="0" w:firstLineChars="0"/>
                    <w:jc w:val="center"/>
                    <w:rPr>
                      <w:sz w:val="21"/>
                      <w:szCs w:val="21"/>
                    </w:rPr>
                  </w:pPr>
                  <w:r>
                    <w:rPr>
                      <w:rFonts w:hint="eastAsia"/>
                      <w:sz w:val="21"/>
                      <w:szCs w:val="21"/>
                    </w:rPr>
                    <w:t>万平方米</w:t>
                  </w:r>
                  <w:r>
                    <w:rPr>
                      <w:sz w:val="21"/>
                      <w:szCs w:val="21"/>
                    </w:rPr>
                    <w:t>/a</w:t>
                  </w:r>
                </w:p>
              </w:tc>
              <w:tc>
                <w:tcPr>
                  <w:tcW w:w="871" w:type="pct"/>
                  <w:vAlign w:val="center"/>
                </w:tcPr>
                <w:p>
                  <w:pPr>
                    <w:spacing w:line="240" w:lineRule="auto"/>
                    <w:ind w:firstLine="0" w:firstLineChars="0"/>
                    <w:jc w:val="center"/>
                    <w:rPr>
                      <w:sz w:val="21"/>
                      <w:szCs w:val="21"/>
                    </w:rPr>
                  </w:pPr>
                  <w:r>
                    <w:rPr>
                      <w:sz w:val="21"/>
                      <w:szCs w:val="21"/>
                    </w:rPr>
                    <w:t>11</w:t>
                  </w:r>
                </w:p>
              </w:tc>
              <w:tc>
                <w:tcPr>
                  <w:tcW w:w="1446" w:type="pct"/>
                  <w:tcBorders>
                    <w:bottom w:val="single" w:color="auto" w:sz="8"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r>
                    <w:rPr>
                      <w:sz w:val="21"/>
                      <w:szCs w:val="21"/>
                    </w:rPr>
                    <w:t>000</w:t>
                  </w:r>
                  <w:r>
                    <w:rPr>
                      <w:rFonts w:hint="eastAsia"/>
                      <w:sz w:val="21"/>
                      <w:szCs w:val="21"/>
                    </w:rPr>
                    <w:t>t</w:t>
                  </w:r>
                  <w:r>
                    <w:rPr>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43" w:type="pct"/>
                  <w:vAlign w:val="center"/>
                </w:tcPr>
                <w:p>
                  <w:pPr>
                    <w:spacing w:line="240" w:lineRule="auto"/>
                    <w:ind w:firstLine="0" w:firstLineChars="0"/>
                    <w:jc w:val="center"/>
                    <w:rPr>
                      <w:sz w:val="21"/>
                      <w:szCs w:val="21"/>
                    </w:rPr>
                  </w:pPr>
                  <w:r>
                    <w:rPr>
                      <w:sz w:val="21"/>
                      <w:szCs w:val="21"/>
                    </w:rPr>
                    <w:t>2</w:t>
                  </w:r>
                </w:p>
              </w:tc>
              <w:tc>
                <w:tcPr>
                  <w:tcW w:w="1146" w:type="pct"/>
                  <w:vAlign w:val="center"/>
                </w:tcPr>
                <w:p>
                  <w:pPr>
                    <w:spacing w:line="240" w:lineRule="auto"/>
                    <w:ind w:firstLine="0" w:firstLineChars="0"/>
                    <w:jc w:val="center"/>
                    <w:rPr>
                      <w:sz w:val="21"/>
                      <w:szCs w:val="21"/>
                    </w:rPr>
                  </w:pPr>
                  <w:r>
                    <w:rPr>
                      <w:rFonts w:hint="eastAsia"/>
                      <w:sz w:val="21"/>
                      <w:szCs w:val="21"/>
                    </w:rPr>
                    <w:t>氩气</w:t>
                  </w:r>
                </w:p>
              </w:tc>
              <w:tc>
                <w:tcPr>
                  <w:tcW w:w="994" w:type="pct"/>
                  <w:vAlign w:val="center"/>
                </w:tcPr>
                <w:p>
                  <w:pPr>
                    <w:spacing w:line="240" w:lineRule="auto"/>
                    <w:ind w:firstLine="0" w:firstLineChars="0"/>
                    <w:jc w:val="center"/>
                    <w:rPr>
                      <w:sz w:val="21"/>
                      <w:szCs w:val="21"/>
                    </w:rPr>
                  </w:pPr>
                  <w:r>
                    <w:rPr>
                      <w:rFonts w:hint="eastAsia"/>
                      <w:sz w:val="21"/>
                      <w:szCs w:val="21"/>
                    </w:rPr>
                    <w:t>t</w:t>
                  </w:r>
                  <w:r>
                    <w:rPr>
                      <w:sz w:val="21"/>
                      <w:szCs w:val="21"/>
                    </w:rPr>
                    <w:t>/a</w:t>
                  </w:r>
                </w:p>
              </w:tc>
              <w:tc>
                <w:tcPr>
                  <w:tcW w:w="871" w:type="pct"/>
                  <w:vAlign w:val="center"/>
                </w:tcPr>
                <w:p>
                  <w:pPr>
                    <w:spacing w:line="240" w:lineRule="auto"/>
                    <w:ind w:firstLine="0" w:firstLineChars="0"/>
                    <w:jc w:val="center"/>
                    <w:rPr>
                      <w:sz w:val="21"/>
                      <w:szCs w:val="21"/>
                    </w:rPr>
                  </w:pPr>
                  <w:r>
                    <w:rPr>
                      <w:sz w:val="21"/>
                      <w:szCs w:val="21"/>
                    </w:rPr>
                    <w:t>0.5</w:t>
                  </w:r>
                </w:p>
              </w:tc>
              <w:tc>
                <w:tcPr>
                  <w:tcW w:w="1446" w:type="pct"/>
                  <w:tcBorders>
                    <w:top w:val="single" w:color="auto" w:sz="8" w:space="0"/>
                    <w:bottom w:val="single" w:color="auto" w:sz="8" w:space="0"/>
                    <w:right w:val="single" w:color="auto" w:sz="4" w:space="0"/>
                  </w:tcBorders>
                  <w:vAlign w:val="center"/>
                </w:tcPr>
                <w:p>
                  <w:pPr>
                    <w:spacing w:line="240" w:lineRule="auto"/>
                    <w:ind w:firstLine="0" w:firstLineChars="0"/>
                    <w:jc w:val="center"/>
                    <w:rPr>
                      <w:sz w:val="21"/>
                      <w:szCs w:val="21"/>
                    </w:rPr>
                  </w:pPr>
                  <w:r>
                    <w:rPr>
                      <w:rFonts w:hint="eastAsia"/>
                      <w:sz w:val="21"/>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43" w:type="pct"/>
                  <w:vAlign w:val="center"/>
                </w:tcPr>
                <w:p>
                  <w:pPr>
                    <w:spacing w:line="240" w:lineRule="auto"/>
                    <w:ind w:firstLine="0" w:firstLineChars="0"/>
                    <w:jc w:val="center"/>
                    <w:rPr>
                      <w:sz w:val="21"/>
                      <w:szCs w:val="21"/>
                    </w:rPr>
                  </w:pPr>
                  <w:r>
                    <w:rPr>
                      <w:sz w:val="21"/>
                      <w:szCs w:val="21"/>
                    </w:rPr>
                    <w:t>3</w:t>
                  </w:r>
                </w:p>
              </w:tc>
              <w:tc>
                <w:tcPr>
                  <w:tcW w:w="1146" w:type="pct"/>
                  <w:vAlign w:val="center"/>
                </w:tcPr>
                <w:p>
                  <w:pPr>
                    <w:spacing w:line="240" w:lineRule="auto"/>
                    <w:ind w:firstLine="0" w:firstLineChars="0"/>
                    <w:jc w:val="center"/>
                    <w:rPr>
                      <w:sz w:val="21"/>
                      <w:szCs w:val="21"/>
                    </w:rPr>
                  </w:pPr>
                  <w:r>
                    <w:rPr>
                      <w:rFonts w:hint="eastAsia"/>
                      <w:sz w:val="21"/>
                      <w:szCs w:val="21"/>
                    </w:rPr>
                    <w:t>铝焊丝</w:t>
                  </w:r>
                </w:p>
              </w:tc>
              <w:tc>
                <w:tcPr>
                  <w:tcW w:w="994" w:type="pct"/>
                  <w:vAlign w:val="center"/>
                </w:tcPr>
                <w:p>
                  <w:pPr>
                    <w:spacing w:line="240" w:lineRule="auto"/>
                    <w:ind w:firstLine="0" w:firstLineChars="0"/>
                    <w:jc w:val="center"/>
                    <w:rPr>
                      <w:sz w:val="21"/>
                      <w:szCs w:val="21"/>
                    </w:rPr>
                  </w:pPr>
                  <w:r>
                    <w:rPr>
                      <w:rFonts w:hint="eastAsia"/>
                      <w:sz w:val="21"/>
                      <w:szCs w:val="21"/>
                    </w:rPr>
                    <w:t>t</w:t>
                  </w:r>
                  <w:r>
                    <w:rPr>
                      <w:sz w:val="21"/>
                      <w:szCs w:val="21"/>
                    </w:rPr>
                    <w:t>/a</w:t>
                  </w:r>
                </w:p>
              </w:tc>
              <w:tc>
                <w:tcPr>
                  <w:tcW w:w="871" w:type="pct"/>
                  <w:vAlign w:val="center"/>
                </w:tcPr>
                <w:p>
                  <w:pPr>
                    <w:spacing w:line="240" w:lineRule="auto"/>
                    <w:ind w:firstLine="0" w:firstLineChars="0"/>
                    <w:jc w:val="center"/>
                    <w:rPr>
                      <w:sz w:val="21"/>
                      <w:szCs w:val="21"/>
                    </w:rPr>
                  </w:pPr>
                  <w:r>
                    <w:rPr>
                      <w:rFonts w:hint="eastAsia"/>
                      <w:sz w:val="21"/>
                      <w:szCs w:val="21"/>
                    </w:rPr>
                    <w:t>1</w:t>
                  </w:r>
                  <w:r>
                    <w:rPr>
                      <w:sz w:val="21"/>
                      <w:szCs w:val="21"/>
                    </w:rPr>
                    <w:t>.5</w:t>
                  </w:r>
                </w:p>
              </w:tc>
              <w:tc>
                <w:tcPr>
                  <w:tcW w:w="1446" w:type="pct"/>
                  <w:tcBorders>
                    <w:top w:val="single" w:color="auto" w:sz="8" w:space="0"/>
                    <w:bottom w:val="single" w:color="auto" w:sz="8" w:space="0"/>
                    <w:right w:val="single" w:color="auto" w:sz="4" w:space="0"/>
                  </w:tcBorders>
                  <w:vAlign w:val="center"/>
                </w:tcPr>
                <w:p>
                  <w:pPr>
                    <w:spacing w:line="240" w:lineRule="auto"/>
                    <w:ind w:firstLine="0" w:firstLineChars="0"/>
                    <w:jc w:val="center"/>
                    <w:rPr>
                      <w:sz w:val="21"/>
                      <w:szCs w:val="21"/>
                    </w:rPr>
                  </w:pPr>
                  <w:r>
                    <w:rPr>
                      <w:rFonts w:hint="eastAsia"/>
                      <w:sz w:val="21"/>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43" w:type="pct"/>
                  <w:vAlign w:val="center"/>
                </w:tcPr>
                <w:p>
                  <w:pPr>
                    <w:spacing w:line="240" w:lineRule="auto"/>
                    <w:ind w:firstLine="0" w:firstLineChars="0"/>
                    <w:jc w:val="center"/>
                    <w:rPr>
                      <w:sz w:val="21"/>
                      <w:szCs w:val="21"/>
                    </w:rPr>
                  </w:pPr>
                  <w:r>
                    <w:rPr>
                      <w:sz w:val="21"/>
                      <w:szCs w:val="21"/>
                    </w:rPr>
                    <w:t>4</w:t>
                  </w:r>
                </w:p>
              </w:tc>
              <w:tc>
                <w:tcPr>
                  <w:tcW w:w="1146" w:type="pct"/>
                  <w:vAlign w:val="center"/>
                </w:tcPr>
                <w:p>
                  <w:pPr>
                    <w:pStyle w:val="11"/>
                    <w:spacing w:after="0" w:line="360" w:lineRule="exact"/>
                    <w:ind w:left="0" w:leftChars="0" w:firstLine="0" w:firstLineChars="0"/>
                    <w:jc w:val="center"/>
                    <w:rPr>
                      <w:sz w:val="21"/>
                      <w:szCs w:val="21"/>
                    </w:rPr>
                  </w:pPr>
                  <w:r>
                    <w:rPr>
                      <w:rFonts w:hint="eastAsia"/>
                      <w:sz w:val="21"/>
                      <w:szCs w:val="21"/>
                    </w:rPr>
                    <w:t>液压油</w:t>
                  </w:r>
                </w:p>
              </w:tc>
              <w:tc>
                <w:tcPr>
                  <w:tcW w:w="994" w:type="pct"/>
                  <w:vAlign w:val="center"/>
                </w:tcPr>
                <w:p>
                  <w:pPr>
                    <w:pStyle w:val="11"/>
                    <w:spacing w:after="0" w:line="360" w:lineRule="exact"/>
                    <w:ind w:left="0" w:leftChars="0" w:firstLine="0" w:firstLineChars="0"/>
                    <w:jc w:val="center"/>
                    <w:rPr>
                      <w:sz w:val="21"/>
                      <w:szCs w:val="21"/>
                    </w:rPr>
                  </w:pPr>
                  <w:r>
                    <w:rPr>
                      <w:rFonts w:hint="eastAsia"/>
                      <w:sz w:val="21"/>
                      <w:szCs w:val="21"/>
                    </w:rPr>
                    <w:t>t/a</w:t>
                  </w:r>
                </w:p>
              </w:tc>
              <w:tc>
                <w:tcPr>
                  <w:tcW w:w="871" w:type="pct"/>
                  <w:vAlign w:val="center"/>
                </w:tcPr>
                <w:p>
                  <w:pPr>
                    <w:pStyle w:val="11"/>
                    <w:spacing w:after="0" w:line="360" w:lineRule="exact"/>
                    <w:ind w:left="0" w:leftChars="0" w:firstLine="0" w:firstLineChars="0"/>
                    <w:jc w:val="center"/>
                    <w:rPr>
                      <w:sz w:val="21"/>
                      <w:szCs w:val="21"/>
                    </w:rPr>
                  </w:pPr>
                  <w:r>
                    <w:rPr>
                      <w:rFonts w:hint="eastAsia"/>
                      <w:sz w:val="21"/>
                      <w:szCs w:val="21"/>
                    </w:rPr>
                    <w:t>0.4</w:t>
                  </w:r>
                </w:p>
              </w:tc>
              <w:tc>
                <w:tcPr>
                  <w:tcW w:w="1446" w:type="pct"/>
                </w:tcPr>
                <w:p>
                  <w:pPr>
                    <w:pStyle w:val="11"/>
                    <w:spacing w:after="0" w:line="360" w:lineRule="exact"/>
                    <w:ind w:left="0" w:leftChars="0" w:firstLine="0" w:firstLineChars="0"/>
                    <w:jc w:val="center"/>
                    <w:rPr>
                      <w:sz w:val="21"/>
                      <w:szCs w:val="21"/>
                    </w:rPr>
                  </w:pPr>
                  <w:r>
                    <w:rPr>
                      <w:rFonts w:hint="eastAsia"/>
                      <w:sz w:val="21"/>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43" w:type="pct"/>
                  <w:vAlign w:val="center"/>
                </w:tcPr>
                <w:p>
                  <w:pPr>
                    <w:spacing w:line="240" w:lineRule="auto"/>
                    <w:ind w:firstLine="0" w:firstLineChars="0"/>
                    <w:jc w:val="center"/>
                    <w:rPr>
                      <w:sz w:val="21"/>
                      <w:szCs w:val="21"/>
                    </w:rPr>
                  </w:pPr>
                  <w:r>
                    <w:rPr>
                      <w:rFonts w:hint="eastAsia"/>
                      <w:sz w:val="21"/>
                      <w:szCs w:val="21"/>
                    </w:rPr>
                    <w:t>5</w:t>
                  </w:r>
                </w:p>
              </w:tc>
              <w:tc>
                <w:tcPr>
                  <w:tcW w:w="1146" w:type="pct"/>
                  <w:vAlign w:val="center"/>
                </w:tcPr>
                <w:p>
                  <w:pPr>
                    <w:pStyle w:val="11"/>
                    <w:spacing w:after="0" w:line="360" w:lineRule="exact"/>
                    <w:ind w:left="0" w:leftChars="0" w:firstLine="0" w:firstLineChars="0"/>
                    <w:jc w:val="center"/>
                    <w:rPr>
                      <w:sz w:val="21"/>
                      <w:szCs w:val="21"/>
                    </w:rPr>
                  </w:pPr>
                  <w:r>
                    <w:rPr>
                      <w:rFonts w:hint="eastAsia"/>
                      <w:sz w:val="21"/>
                      <w:szCs w:val="21"/>
                    </w:rPr>
                    <w:t>切削液</w:t>
                  </w:r>
                </w:p>
              </w:tc>
              <w:tc>
                <w:tcPr>
                  <w:tcW w:w="994" w:type="pct"/>
                  <w:vAlign w:val="center"/>
                </w:tcPr>
                <w:p>
                  <w:pPr>
                    <w:pStyle w:val="11"/>
                    <w:spacing w:after="0" w:line="360" w:lineRule="exact"/>
                    <w:ind w:left="0" w:leftChars="0" w:firstLine="0" w:firstLineChars="0"/>
                    <w:jc w:val="center"/>
                    <w:rPr>
                      <w:sz w:val="21"/>
                      <w:szCs w:val="21"/>
                    </w:rPr>
                  </w:pPr>
                  <w:r>
                    <w:rPr>
                      <w:rFonts w:hint="eastAsia"/>
                      <w:sz w:val="21"/>
                      <w:szCs w:val="21"/>
                    </w:rPr>
                    <w:t>t/a</w:t>
                  </w:r>
                </w:p>
              </w:tc>
              <w:tc>
                <w:tcPr>
                  <w:tcW w:w="871" w:type="pct"/>
                  <w:vAlign w:val="center"/>
                </w:tcPr>
                <w:p>
                  <w:pPr>
                    <w:pStyle w:val="11"/>
                    <w:spacing w:after="0" w:line="360" w:lineRule="exact"/>
                    <w:ind w:left="0" w:leftChars="0" w:firstLine="0" w:firstLineChars="0"/>
                    <w:jc w:val="center"/>
                    <w:rPr>
                      <w:sz w:val="21"/>
                      <w:szCs w:val="21"/>
                    </w:rPr>
                  </w:pPr>
                  <w:r>
                    <w:rPr>
                      <w:rFonts w:hint="eastAsia"/>
                      <w:sz w:val="21"/>
                      <w:szCs w:val="21"/>
                    </w:rPr>
                    <w:t>0.5</w:t>
                  </w:r>
                </w:p>
              </w:tc>
              <w:tc>
                <w:tcPr>
                  <w:tcW w:w="1446" w:type="pct"/>
                </w:tcPr>
                <w:p>
                  <w:pPr>
                    <w:pStyle w:val="11"/>
                    <w:spacing w:after="0" w:line="360" w:lineRule="exact"/>
                    <w:ind w:left="0" w:leftChars="0" w:firstLine="0" w:firstLineChars="0"/>
                    <w:jc w:val="center"/>
                    <w:rPr>
                      <w:sz w:val="21"/>
                      <w:szCs w:val="21"/>
                    </w:rPr>
                  </w:pPr>
                  <w:r>
                    <w:rPr>
                      <w:rFonts w:hint="eastAsia"/>
                      <w:sz w:val="21"/>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43" w:type="pct"/>
                  <w:vAlign w:val="center"/>
                </w:tcPr>
                <w:p>
                  <w:pPr>
                    <w:spacing w:line="240" w:lineRule="auto"/>
                    <w:ind w:firstLine="0" w:firstLineChars="0"/>
                    <w:jc w:val="center"/>
                    <w:rPr>
                      <w:sz w:val="21"/>
                      <w:szCs w:val="21"/>
                    </w:rPr>
                  </w:pPr>
                  <w:r>
                    <w:rPr>
                      <w:rFonts w:hint="eastAsia"/>
                      <w:sz w:val="21"/>
                      <w:szCs w:val="21"/>
                    </w:rPr>
                    <w:t>6</w:t>
                  </w:r>
                </w:p>
              </w:tc>
              <w:tc>
                <w:tcPr>
                  <w:tcW w:w="1146" w:type="pct"/>
                  <w:vAlign w:val="center"/>
                </w:tcPr>
                <w:p>
                  <w:pPr>
                    <w:pStyle w:val="11"/>
                    <w:spacing w:after="0" w:line="360" w:lineRule="exact"/>
                    <w:ind w:left="0" w:leftChars="0" w:firstLine="0" w:firstLineChars="0"/>
                    <w:jc w:val="center"/>
                    <w:rPr>
                      <w:sz w:val="21"/>
                      <w:szCs w:val="21"/>
                    </w:rPr>
                  </w:pPr>
                  <w:r>
                    <w:rPr>
                      <w:sz w:val="21"/>
                      <w:szCs w:val="21"/>
                    </w:rPr>
                    <w:t>电</w:t>
                  </w:r>
                </w:p>
              </w:tc>
              <w:tc>
                <w:tcPr>
                  <w:tcW w:w="994" w:type="pct"/>
                  <w:vAlign w:val="center"/>
                </w:tcPr>
                <w:p>
                  <w:pPr>
                    <w:spacing w:line="360" w:lineRule="exact"/>
                    <w:ind w:firstLine="0" w:firstLineChars="0"/>
                    <w:jc w:val="center"/>
                    <w:rPr>
                      <w:sz w:val="21"/>
                      <w:szCs w:val="21"/>
                    </w:rPr>
                  </w:pPr>
                  <w:r>
                    <w:rPr>
                      <w:sz w:val="21"/>
                      <w:szCs w:val="21"/>
                    </w:rPr>
                    <w:t>万kWh</w:t>
                  </w:r>
                </w:p>
              </w:tc>
              <w:tc>
                <w:tcPr>
                  <w:tcW w:w="871" w:type="pct"/>
                  <w:vAlign w:val="center"/>
                </w:tcPr>
                <w:p>
                  <w:pPr>
                    <w:spacing w:line="360" w:lineRule="exact"/>
                    <w:ind w:firstLine="0" w:firstLineChars="0"/>
                    <w:jc w:val="center"/>
                    <w:rPr>
                      <w:sz w:val="21"/>
                      <w:szCs w:val="21"/>
                    </w:rPr>
                  </w:pPr>
                  <w:r>
                    <w:rPr>
                      <w:sz w:val="21"/>
                      <w:szCs w:val="21"/>
                    </w:rPr>
                    <w:t>5</w:t>
                  </w:r>
                </w:p>
              </w:tc>
              <w:tc>
                <w:tcPr>
                  <w:tcW w:w="1446" w:type="pct"/>
                  <w:tcBorders>
                    <w:top w:val="single" w:color="auto" w:sz="8" w:space="0"/>
                    <w:right w:val="single" w:color="auto" w:sz="4" w:space="0"/>
                  </w:tcBorders>
                  <w:vAlign w:val="center"/>
                </w:tcPr>
                <w:p>
                  <w:pPr>
                    <w:spacing w:line="360" w:lineRule="exact"/>
                    <w:ind w:firstLine="0" w:firstLineChars="0"/>
                    <w:jc w:val="center"/>
                    <w:rPr>
                      <w:sz w:val="21"/>
                      <w:szCs w:val="21"/>
                    </w:rPr>
                  </w:pPr>
                  <w:r>
                    <w:rPr>
                      <w:rFonts w:hint="eastAsia"/>
                      <w:bCs/>
                      <w:sz w:val="21"/>
                      <w:szCs w:val="21"/>
                    </w:rPr>
                    <w:t>市政</w:t>
                  </w:r>
                  <w:r>
                    <w:rPr>
                      <w:bCs/>
                      <w:sz w:val="21"/>
                      <w:szCs w:val="21"/>
                    </w:rPr>
                    <w:t>供电管网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43" w:type="pct"/>
                  <w:vAlign w:val="center"/>
                </w:tcPr>
                <w:p>
                  <w:pPr>
                    <w:spacing w:line="240" w:lineRule="auto"/>
                    <w:ind w:firstLine="0" w:firstLineChars="0"/>
                    <w:jc w:val="center"/>
                    <w:rPr>
                      <w:sz w:val="21"/>
                      <w:szCs w:val="21"/>
                    </w:rPr>
                  </w:pPr>
                  <w:r>
                    <w:rPr>
                      <w:rFonts w:hint="eastAsia"/>
                      <w:sz w:val="21"/>
                      <w:szCs w:val="21"/>
                    </w:rPr>
                    <w:t>7</w:t>
                  </w:r>
                </w:p>
              </w:tc>
              <w:tc>
                <w:tcPr>
                  <w:tcW w:w="1146" w:type="pct"/>
                  <w:vAlign w:val="center"/>
                </w:tcPr>
                <w:p>
                  <w:pPr>
                    <w:pStyle w:val="11"/>
                    <w:spacing w:after="0" w:line="360" w:lineRule="exact"/>
                    <w:ind w:left="0" w:leftChars="0" w:firstLine="0" w:firstLineChars="0"/>
                    <w:jc w:val="center"/>
                  </w:pPr>
                  <w:r>
                    <w:rPr>
                      <w:sz w:val="21"/>
                      <w:szCs w:val="21"/>
                    </w:rPr>
                    <w:t>生活用水</w:t>
                  </w:r>
                </w:p>
              </w:tc>
              <w:tc>
                <w:tcPr>
                  <w:tcW w:w="994" w:type="pct"/>
                  <w:vAlign w:val="center"/>
                </w:tcPr>
                <w:p>
                  <w:pPr>
                    <w:spacing w:line="360" w:lineRule="exact"/>
                    <w:ind w:firstLine="0" w:firstLineChars="0"/>
                    <w:jc w:val="center"/>
                    <w:rPr>
                      <w:sz w:val="21"/>
                      <w:szCs w:val="21"/>
                    </w:rPr>
                  </w:pPr>
                  <w:r>
                    <w:rPr>
                      <w:sz w:val="21"/>
                      <w:szCs w:val="21"/>
                    </w:rPr>
                    <w:t>m</w:t>
                  </w:r>
                  <w:r>
                    <w:rPr>
                      <w:sz w:val="21"/>
                      <w:szCs w:val="21"/>
                      <w:vertAlign w:val="superscript"/>
                    </w:rPr>
                    <w:t>3</w:t>
                  </w:r>
                  <w:r>
                    <w:rPr>
                      <w:sz w:val="21"/>
                      <w:szCs w:val="21"/>
                    </w:rPr>
                    <w:t>/a</w:t>
                  </w:r>
                </w:p>
              </w:tc>
              <w:tc>
                <w:tcPr>
                  <w:tcW w:w="871" w:type="pct"/>
                  <w:vAlign w:val="center"/>
                </w:tcPr>
                <w:p>
                  <w:pPr>
                    <w:spacing w:line="360" w:lineRule="exact"/>
                    <w:ind w:firstLine="0" w:firstLineChars="0"/>
                    <w:jc w:val="center"/>
                    <w:rPr>
                      <w:sz w:val="21"/>
                      <w:szCs w:val="21"/>
                    </w:rPr>
                  </w:pPr>
                  <w:r>
                    <w:rPr>
                      <w:rFonts w:hint="eastAsia"/>
                      <w:sz w:val="21"/>
                      <w:szCs w:val="21"/>
                    </w:rPr>
                    <w:t>7</w:t>
                  </w:r>
                  <w:r>
                    <w:rPr>
                      <w:sz w:val="21"/>
                      <w:szCs w:val="21"/>
                    </w:rPr>
                    <w:t>20</w:t>
                  </w:r>
                </w:p>
              </w:tc>
              <w:tc>
                <w:tcPr>
                  <w:tcW w:w="1446" w:type="pct"/>
                  <w:tcBorders>
                    <w:top w:val="single" w:color="auto" w:sz="8" w:space="0"/>
                    <w:right w:val="single" w:color="auto" w:sz="4" w:space="0"/>
                  </w:tcBorders>
                  <w:vAlign w:val="center"/>
                </w:tcPr>
                <w:p>
                  <w:pPr>
                    <w:spacing w:line="360" w:lineRule="exact"/>
                    <w:ind w:firstLine="0" w:firstLineChars="0"/>
                    <w:jc w:val="center"/>
                    <w:rPr>
                      <w:sz w:val="21"/>
                      <w:szCs w:val="21"/>
                    </w:rPr>
                  </w:pPr>
                  <w:r>
                    <w:rPr>
                      <w:rFonts w:hint="eastAsia"/>
                      <w:sz w:val="21"/>
                      <w:szCs w:val="21"/>
                    </w:rPr>
                    <w:t>市政供水</w:t>
                  </w:r>
                </w:p>
              </w:tc>
            </w:tr>
          </w:tbl>
          <w:p>
            <w:pPr>
              <w:ind w:firstLine="0" w:firstLineChars="0"/>
              <w:rPr>
                <w:b/>
                <w:bCs/>
              </w:rPr>
            </w:pPr>
            <w:r>
              <w:rPr>
                <w:b/>
                <w:bCs/>
              </w:rPr>
              <w:t>6、</w:t>
            </w:r>
            <w:r>
              <w:rPr>
                <w:rFonts w:hint="eastAsia"/>
                <w:b/>
                <w:bCs/>
              </w:rPr>
              <w:t>公用工程</w:t>
            </w:r>
          </w:p>
          <w:p>
            <w:pPr>
              <w:ind w:firstLine="0" w:firstLineChars="0"/>
            </w:pPr>
            <w:r>
              <w:t>6.1给水</w:t>
            </w:r>
          </w:p>
          <w:p>
            <w:pPr>
              <w:ind w:firstLine="480"/>
              <w:jc w:val="both"/>
            </w:pPr>
            <w:r>
              <w:t>本项目用水主要为职工生活用水。</w:t>
            </w:r>
          </w:p>
          <w:p>
            <w:pPr>
              <w:ind w:firstLine="480"/>
              <w:jc w:val="both"/>
            </w:pPr>
            <w:r>
              <w:t>本项目拟用职工40人，均不在厂区食宿。根据《河南省地方标准工业与城镇生活用水定额》（DB41/T385-2014）相关要求，不住厂员工用水量按60L/人d；则项目总用水量为2.4m</w:t>
            </w:r>
            <w:r>
              <w:rPr>
                <w:vertAlign w:val="superscript"/>
              </w:rPr>
              <w:t>3</w:t>
            </w:r>
            <w:r>
              <w:t>/d、720m</w:t>
            </w:r>
            <w:r>
              <w:rPr>
                <w:vertAlign w:val="superscript"/>
              </w:rPr>
              <w:t>3</w:t>
            </w:r>
            <w:r>
              <w:t>/a。</w:t>
            </w:r>
          </w:p>
          <w:p>
            <w:pPr>
              <w:ind w:firstLine="0" w:firstLineChars="0"/>
            </w:pPr>
            <w:r>
              <w:t>6.2排水</w:t>
            </w:r>
          </w:p>
          <w:p>
            <w:pPr>
              <w:ind w:firstLine="480"/>
              <w:textAlignment w:val="baseline"/>
              <w:rPr>
                <w:bCs/>
              </w:rPr>
            </w:pPr>
            <w:r>
              <w:t>本项目生活污水产污系数按0.8计，</w:t>
            </w:r>
            <w:r>
              <w:rPr>
                <w:lang w:val="zh-CN"/>
              </w:rPr>
              <w:t>废水产生</w:t>
            </w:r>
            <w:r>
              <w:t>量为1.92m</w:t>
            </w:r>
            <w:r>
              <w:rPr>
                <w:vertAlign w:val="superscript"/>
              </w:rPr>
              <w:t>3</w:t>
            </w:r>
            <w:r>
              <w:t>/d，576m</w:t>
            </w:r>
            <w:r>
              <w:rPr>
                <w:vertAlign w:val="superscript"/>
              </w:rPr>
              <w:t>3</w:t>
            </w:r>
            <w:r>
              <w:t>/a，</w:t>
            </w:r>
            <w:r>
              <w:rPr>
                <w:bCs/>
              </w:rPr>
              <w:t>生活污水经化粪池处理后，</w:t>
            </w:r>
            <w:r>
              <w:rPr>
                <w:rFonts w:hint="eastAsia"/>
                <w:bCs/>
              </w:rPr>
              <w:t>由附近村民拉走肥田</w:t>
            </w:r>
            <w:r>
              <w:rPr>
                <w:bCs/>
              </w:rPr>
              <w:t>。</w:t>
            </w:r>
          </w:p>
          <w:p>
            <w:pPr>
              <w:ind w:firstLine="480"/>
              <w:jc w:val="both"/>
              <w:rPr>
                <w:rFonts w:ascii="Georgia" w:hAnsi="Georgia"/>
                <w:bCs/>
              </w:rPr>
            </w:pPr>
            <w:r>
              <w:rPr>
                <w:rFonts w:hint="eastAsia" w:ascii="Georgia" w:hAnsi="Georgia"/>
                <w:bCs/>
              </w:rPr>
              <w:t>本项目水平衡图如下：</w:t>
            </w:r>
          </w:p>
          <w:p>
            <w:pPr>
              <w:snapToGrid w:val="0"/>
              <w:spacing w:line="240" w:lineRule="auto"/>
              <w:ind w:firstLine="0" w:firstLineChars="0"/>
              <w:jc w:val="center"/>
              <w:rPr>
                <w:bCs/>
              </w:rPr>
            </w:pPr>
            <w:r>
              <w:rPr>
                <w:sz w:val="28"/>
                <w:szCs w:val="22"/>
              </w:rPr>
              <w:object>
                <v:shape id="_x0000_i1025" o:spt="75" type="#_x0000_t75" style="height:65.4pt;width:367.8pt;" o:ole="t" filled="f" o:preferrelative="t" stroked="f" coordsize="21600,21600">
                  <v:path/>
                  <v:fill on="f" focussize="0,0"/>
                  <v:stroke on="f" joinstyle="miter"/>
                  <v:imagedata r:id="rId13" o:title=""/>
                  <o:lock v:ext="edit" aspectratio="t"/>
                  <w10:wrap type="none"/>
                  <w10:anchorlock/>
                </v:shape>
                <o:OLEObject Type="Embed" ProgID="Visio.Drawing.11" ShapeID="_x0000_i1025" DrawAspect="Content" ObjectID="_1468075725" r:id="rId12">
                  <o:LockedField>false</o:LockedField>
                </o:OLEObject>
              </w:object>
            </w:r>
          </w:p>
          <w:p>
            <w:pPr>
              <w:ind w:firstLine="0" w:firstLineChars="0"/>
              <w:jc w:val="center"/>
              <w:rPr>
                <w:b/>
                <w:bCs/>
              </w:rPr>
            </w:pPr>
            <w:r>
              <w:rPr>
                <w:b/>
                <w:bCs/>
              </w:rPr>
              <w:t>图1  本项目用水平衡图（</w:t>
            </w:r>
            <w:r>
              <w:rPr>
                <w:b/>
              </w:rPr>
              <w:t>m</w:t>
            </w:r>
            <w:r>
              <w:rPr>
                <w:b/>
                <w:vertAlign w:val="superscript"/>
              </w:rPr>
              <w:t>3</w:t>
            </w:r>
            <w:r>
              <w:rPr>
                <w:b/>
                <w:bCs/>
              </w:rPr>
              <w:t>/d）</w:t>
            </w:r>
          </w:p>
          <w:p>
            <w:pPr>
              <w:ind w:firstLine="0" w:firstLineChars="0"/>
            </w:pPr>
            <w:r>
              <w:t>6.3</w:t>
            </w:r>
            <w:r>
              <w:rPr>
                <w:rFonts w:hint="eastAsia"/>
              </w:rPr>
              <w:t>供电</w:t>
            </w:r>
          </w:p>
          <w:p>
            <w:pPr>
              <w:ind w:firstLine="480"/>
              <w:jc w:val="both"/>
            </w:pPr>
            <w:r>
              <w:t>本项目用电由</w:t>
            </w:r>
            <w:r>
              <w:rPr>
                <w:rFonts w:hint="eastAsia"/>
              </w:rPr>
              <w:t>市政</w:t>
            </w:r>
            <w:r>
              <w:t>供电管网统一供给，年用电量5万度。</w:t>
            </w:r>
          </w:p>
          <w:p>
            <w:pPr>
              <w:pStyle w:val="18"/>
              <w:spacing w:line="520" w:lineRule="exact"/>
              <w:ind w:firstLine="0" w:firstLineChars="0"/>
              <w:jc w:val="both"/>
              <w:outlineLvl w:val="9"/>
              <w:rPr>
                <w:rFonts w:ascii="Times New Roman" w:hAnsi="Times New Roman" w:eastAsiaTheme="minorEastAsia"/>
                <w:sz w:val="24"/>
                <w:szCs w:val="24"/>
                <w:u w:val="single"/>
              </w:rPr>
            </w:pPr>
            <w:r>
              <w:rPr>
                <w:rFonts w:hint="eastAsia" w:ascii="Times New Roman" w:hAnsi="Times New Roman"/>
                <w:bCs/>
                <w:kern w:val="2"/>
                <w:sz w:val="24"/>
                <w:szCs w:val="24"/>
                <w:u w:val="single"/>
              </w:rPr>
              <w:t>7</w:t>
            </w:r>
            <w:r>
              <w:rPr>
                <w:rFonts w:ascii="Times New Roman" w:hAnsi="Times New Roman"/>
                <w:bCs/>
                <w:kern w:val="2"/>
                <w:sz w:val="24"/>
                <w:szCs w:val="24"/>
                <w:u w:val="single"/>
              </w:rPr>
              <w:t>、与《新乡市环境保护局关于印发深化建设项目环境影响评价审批制度改革实施细则的通知》</w:t>
            </w:r>
            <w:r>
              <w:rPr>
                <w:rFonts w:hint="eastAsia" w:ascii="Times New Roman" w:hAnsi="Times New Roman"/>
                <w:bCs/>
                <w:kern w:val="2"/>
                <w:sz w:val="24"/>
                <w:szCs w:val="24"/>
                <w:u w:val="single"/>
              </w:rPr>
              <w:t>（</w:t>
            </w:r>
            <w:r>
              <w:rPr>
                <w:rFonts w:ascii="Times New Roman" w:hAnsi="Times New Roman"/>
                <w:bCs/>
                <w:kern w:val="2"/>
                <w:sz w:val="24"/>
                <w:szCs w:val="24"/>
                <w:u w:val="single"/>
              </w:rPr>
              <w:t>新环[2015]342号</w:t>
            </w:r>
            <w:r>
              <w:rPr>
                <w:rFonts w:hint="eastAsia" w:ascii="Times New Roman" w:hAnsi="Times New Roman"/>
                <w:bCs/>
                <w:kern w:val="2"/>
                <w:sz w:val="24"/>
                <w:szCs w:val="24"/>
                <w:u w:val="single"/>
              </w:rPr>
              <w:t>）</w:t>
            </w:r>
            <w:r>
              <w:rPr>
                <w:rFonts w:ascii="Times New Roman" w:hAnsi="Times New Roman"/>
                <w:bCs/>
                <w:kern w:val="2"/>
                <w:sz w:val="24"/>
                <w:szCs w:val="24"/>
                <w:u w:val="single"/>
              </w:rPr>
              <w:t>的对照分析</w:t>
            </w:r>
          </w:p>
          <w:p>
            <w:pPr>
              <w:ind w:firstLine="482"/>
              <w:jc w:val="both"/>
              <w:rPr>
                <w:b/>
                <w:u w:val="single"/>
              </w:rPr>
            </w:pPr>
            <w:r>
              <w:rPr>
                <w:b/>
                <w:u w:val="single"/>
              </w:rPr>
              <w:t>与《新乡市环境保护局关于印发深化建设项目环境影响评价审批制度改革实施细则的通知》</w:t>
            </w:r>
            <w:r>
              <w:rPr>
                <w:rFonts w:hint="eastAsia"/>
                <w:b/>
                <w:u w:val="single"/>
              </w:rPr>
              <w:t>（</w:t>
            </w:r>
            <w:r>
              <w:rPr>
                <w:b/>
                <w:u w:val="single"/>
              </w:rPr>
              <w:t>新环[2015]342号</w:t>
            </w:r>
            <w:r>
              <w:rPr>
                <w:rFonts w:hint="eastAsia"/>
                <w:b/>
                <w:u w:val="single"/>
              </w:rPr>
              <w:t>）</w:t>
            </w:r>
            <w:r>
              <w:rPr>
                <w:b/>
                <w:u w:val="single"/>
              </w:rPr>
              <w:t>（以下简称《通知》）对照分析见表。</w:t>
            </w:r>
          </w:p>
          <w:p>
            <w:pPr>
              <w:pStyle w:val="7"/>
              <w:rPr>
                <w:b/>
                <w:sz w:val="21"/>
                <w:u w:val="single"/>
              </w:rPr>
            </w:pPr>
            <w:r>
              <w:rPr>
                <w:b/>
                <w:sz w:val="21"/>
                <w:u w:val="single"/>
              </w:rPr>
              <w:t>与《通知》对比分析一览表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140"/>
              <w:gridCol w:w="2970"/>
              <w:gridCol w:w="220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blHeader/>
                <w:jc w:val="center"/>
              </w:trPr>
              <w:tc>
                <w:tcPr>
                  <w:tcW w:w="75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项目</w:t>
                  </w:r>
                </w:p>
              </w:tc>
              <w:tc>
                <w:tcPr>
                  <w:tcW w:w="2289" w:type="pct"/>
                  <w:gridSpan w:val="2"/>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与本项目相关条文</w:t>
                  </w:r>
                </w:p>
              </w:tc>
              <w:tc>
                <w:tcPr>
                  <w:tcW w:w="12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本项目情况</w:t>
                  </w: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对比结果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blHeader/>
                <w:jc w:val="center"/>
              </w:trPr>
              <w:tc>
                <w:tcPr>
                  <w:tcW w:w="751" w:type="pct"/>
                  <w:vMerge w:val="restar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新乡市主体功能区分</w:t>
                  </w:r>
                </w:p>
              </w:tc>
              <w:tc>
                <w:tcPr>
                  <w:tcW w:w="2289" w:type="pct"/>
                  <w:gridSpan w:val="2"/>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工业准入优先区：我市范围内的省级产业集聚区、市级人民政府规范设立的专业园区。</w:t>
                  </w:r>
                </w:p>
              </w:tc>
              <w:tc>
                <w:tcPr>
                  <w:tcW w:w="1230" w:type="pct"/>
                  <w:vMerge w:val="restart"/>
                  <w:vAlign w:val="center"/>
                </w:tcPr>
                <w:p>
                  <w:pPr>
                    <w:adjustRightInd w:val="0"/>
                    <w:snapToGrid w:val="0"/>
                    <w:spacing w:line="240" w:lineRule="auto"/>
                    <w:ind w:firstLine="0" w:firstLineChars="0"/>
                    <w:jc w:val="center"/>
                    <w:rPr>
                      <w:b/>
                      <w:snapToGrid w:val="0"/>
                      <w:kern w:val="0"/>
                      <w:sz w:val="21"/>
                      <w:szCs w:val="21"/>
                      <w:u w:val="single"/>
                    </w:rPr>
                  </w:pPr>
                  <w:r>
                    <w:rPr>
                      <w:rFonts w:hint="eastAsia"/>
                      <w:b/>
                      <w:snapToGrid w:val="0"/>
                      <w:kern w:val="0"/>
                      <w:sz w:val="21"/>
                      <w:szCs w:val="21"/>
                      <w:u w:val="single"/>
                    </w:rPr>
                    <w:t>本项目位于河南省新乡市封丘县留光镇农民创业园04号</w:t>
                  </w: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rFonts w:hint="eastAsia"/>
                      <w:b/>
                      <w:snapToGrid w:val="0"/>
                      <w:kern w:val="0"/>
                      <w:sz w:val="21"/>
                      <w:szCs w:val="21"/>
                      <w:u w:val="single"/>
                    </w:rPr>
                    <w:t>不</w:t>
                  </w:r>
                  <w:r>
                    <w:rPr>
                      <w:b/>
                      <w:snapToGrid w:val="0"/>
                      <w:kern w:val="0"/>
                      <w:sz w:val="21"/>
                      <w:szCs w:val="21"/>
                      <w:u w:val="single"/>
                    </w:rPr>
                    <w:t>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blHeader/>
                <w:jc w:val="center"/>
              </w:trPr>
              <w:tc>
                <w:tcPr>
                  <w:tcW w:w="751"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2289" w:type="pct"/>
                  <w:gridSpan w:val="2"/>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城市人居功能区：新乡市市区（含平原城乡一体示范区）、县城建成区，以及规划区中以居住、商贸、文教科研为主的区域。</w:t>
                  </w:r>
                </w:p>
              </w:tc>
              <w:tc>
                <w:tcPr>
                  <w:tcW w:w="1230"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blHeader/>
                <w:jc w:val="center"/>
              </w:trPr>
              <w:tc>
                <w:tcPr>
                  <w:tcW w:w="751"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2289" w:type="pct"/>
                  <w:gridSpan w:val="2"/>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农产品主产区：辉县市、获嘉县、原阳县、延津县、封丘县。（不含产业集聚区、专业园区和县城建成区以及规划区中以居住、商贸、文教科研为主的区域）</w:t>
                  </w:r>
                </w:p>
              </w:tc>
              <w:tc>
                <w:tcPr>
                  <w:tcW w:w="1230"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blHeader/>
                <w:jc w:val="center"/>
              </w:trPr>
              <w:tc>
                <w:tcPr>
                  <w:tcW w:w="751"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635" w:type="pct"/>
                  <w:vAlign w:val="center"/>
                </w:tcPr>
                <w:p>
                  <w:pPr>
                    <w:adjustRightInd w:val="0"/>
                    <w:snapToGrid w:val="0"/>
                    <w:spacing w:line="240" w:lineRule="auto"/>
                    <w:ind w:firstLine="0" w:firstLineChars="0"/>
                    <w:jc w:val="center"/>
                    <w:rPr>
                      <w:b/>
                      <w:snapToGrid w:val="0"/>
                      <w:kern w:val="0"/>
                      <w:sz w:val="21"/>
                      <w:szCs w:val="21"/>
                      <w:u w:val="single"/>
                    </w:rPr>
                  </w:pPr>
                  <w:r>
                    <w:rPr>
                      <w:rFonts w:hint="eastAsia"/>
                      <w:b/>
                      <w:snapToGrid w:val="0"/>
                      <w:kern w:val="0"/>
                      <w:sz w:val="21"/>
                      <w:szCs w:val="21"/>
                      <w:u w:val="single"/>
                    </w:rPr>
                    <w:t>禁止开发区</w:t>
                  </w:r>
                </w:p>
              </w:tc>
              <w:tc>
                <w:tcPr>
                  <w:tcW w:w="165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国家、省级自然保护区，世界文化自然遗产，国家、省级风景名胜区，国家，省级森林公园，国家级、省级地质公园，国家、省级湿地公园，国家级、省级水产种植资源保护区</w:t>
                  </w:r>
                </w:p>
              </w:tc>
              <w:tc>
                <w:tcPr>
                  <w:tcW w:w="1230"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blHeader/>
                <w:jc w:val="center"/>
              </w:trPr>
              <w:tc>
                <w:tcPr>
                  <w:tcW w:w="75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集中水源地保护区</w:t>
                  </w:r>
                </w:p>
              </w:tc>
              <w:tc>
                <w:tcPr>
                  <w:tcW w:w="635" w:type="pct"/>
                  <w:vAlign w:val="center"/>
                </w:tcPr>
                <w:p>
                  <w:pPr>
                    <w:adjustRightInd w:val="0"/>
                    <w:snapToGrid w:val="0"/>
                    <w:spacing w:line="240" w:lineRule="auto"/>
                    <w:ind w:firstLine="0" w:firstLineChars="0"/>
                    <w:jc w:val="center"/>
                    <w:rPr>
                      <w:b/>
                      <w:snapToGrid w:val="0"/>
                      <w:kern w:val="0"/>
                      <w:sz w:val="21"/>
                      <w:szCs w:val="21"/>
                      <w:highlight w:val="yellow"/>
                      <w:u w:val="single"/>
                    </w:rPr>
                  </w:pPr>
                  <w:r>
                    <w:rPr>
                      <w:rFonts w:hint="eastAsia"/>
                      <w:b/>
                      <w:snapToGrid w:val="0"/>
                      <w:kern w:val="0"/>
                      <w:sz w:val="21"/>
                      <w:szCs w:val="21"/>
                      <w:u w:val="single"/>
                    </w:rPr>
                    <w:t>封丘县留光镇留光村水厂地下水井(共1眼井)</w:t>
                  </w:r>
                </w:p>
              </w:tc>
              <w:tc>
                <w:tcPr>
                  <w:tcW w:w="1655" w:type="pct"/>
                  <w:vAlign w:val="center"/>
                </w:tcPr>
                <w:p>
                  <w:pPr>
                    <w:adjustRightInd w:val="0"/>
                    <w:snapToGrid w:val="0"/>
                    <w:spacing w:line="240" w:lineRule="auto"/>
                    <w:ind w:firstLine="0" w:firstLineChars="0"/>
                    <w:jc w:val="center"/>
                    <w:rPr>
                      <w:b/>
                      <w:snapToGrid w:val="0"/>
                      <w:kern w:val="0"/>
                      <w:sz w:val="21"/>
                      <w:szCs w:val="21"/>
                      <w:highlight w:val="yellow"/>
                      <w:u w:val="single"/>
                    </w:rPr>
                  </w:pPr>
                  <w:r>
                    <w:rPr>
                      <w:b/>
                      <w:snapToGrid w:val="0"/>
                      <w:kern w:val="0"/>
                      <w:sz w:val="21"/>
                      <w:szCs w:val="21"/>
                      <w:u w:val="single"/>
                    </w:rPr>
                    <w:t>一级保护区范围：取水井外围50米的区域。</w:t>
                  </w:r>
                </w:p>
              </w:tc>
              <w:tc>
                <w:tcPr>
                  <w:tcW w:w="1230" w:type="pct"/>
                  <w:vAlign w:val="center"/>
                </w:tcPr>
                <w:p>
                  <w:pPr>
                    <w:adjustRightInd w:val="0"/>
                    <w:snapToGrid w:val="0"/>
                    <w:spacing w:line="240" w:lineRule="auto"/>
                    <w:ind w:firstLine="0" w:firstLineChars="0"/>
                    <w:jc w:val="center"/>
                    <w:rPr>
                      <w:b/>
                      <w:snapToGrid w:val="0"/>
                      <w:kern w:val="0"/>
                      <w:sz w:val="21"/>
                      <w:szCs w:val="21"/>
                      <w:highlight w:val="yellow"/>
                      <w:u w:val="single"/>
                    </w:rPr>
                  </w:pPr>
                  <w:r>
                    <w:rPr>
                      <w:b/>
                      <w:snapToGrid w:val="0"/>
                      <w:kern w:val="0"/>
                      <w:sz w:val="21"/>
                      <w:szCs w:val="21"/>
                      <w:u w:val="single"/>
                    </w:rPr>
                    <w:t>本项目</w:t>
                  </w:r>
                  <w:r>
                    <w:rPr>
                      <w:rFonts w:hint="eastAsia"/>
                      <w:b/>
                      <w:snapToGrid w:val="0"/>
                      <w:kern w:val="0"/>
                      <w:sz w:val="21"/>
                      <w:szCs w:val="21"/>
                      <w:u w:val="single"/>
                    </w:rPr>
                    <w:t>距封丘县留光镇留光村水厂地下水井一级保护区边界约1.9km</w:t>
                  </w: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不在保护区范围内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blHeader/>
                <w:jc w:val="center"/>
              </w:trPr>
              <w:tc>
                <w:tcPr>
                  <w:tcW w:w="751" w:type="pct"/>
                  <w:vMerge w:val="restar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污染防治（控）重点单元</w:t>
                  </w:r>
                </w:p>
              </w:tc>
              <w:tc>
                <w:tcPr>
                  <w:tcW w:w="63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水污染</w:t>
                  </w:r>
                </w:p>
              </w:tc>
              <w:tc>
                <w:tcPr>
                  <w:tcW w:w="165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卫河流域：新乡市区、新乡县、卫辉市、辉县市、获嘉县</w:t>
                  </w:r>
                </w:p>
              </w:tc>
              <w:tc>
                <w:tcPr>
                  <w:tcW w:w="1230" w:type="pct"/>
                  <w:vMerge w:val="restar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项目厂址位于</w:t>
                  </w:r>
                  <w:r>
                    <w:rPr>
                      <w:rFonts w:hint="eastAsia"/>
                      <w:b/>
                      <w:snapToGrid w:val="0"/>
                      <w:kern w:val="0"/>
                      <w:sz w:val="21"/>
                      <w:szCs w:val="21"/>
                      <w:u w:val="single"/>
                    </w:rPr>
                    <w:t>封丘县</w:t>
                  </w: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rFonts w:hint="eastAsia"/>
                      <w:b/>
                      <w:snapToGrid w:val="0"/>
                      <w:kern w:val="0"/>
                      <w:sz w:val="21"/>
                      <w:szCs w:val="21"/>
                      <w:u w:val="single"/>
                    </w:rPr>
                    <w:t>不</w:t>
                  </w:r>
                  <w:r>
                    <w:rPr>
                      <w:b/>
                      <w:snapToGrid w:val="0"/>
                      <w:kern w:val="0"/>
                      <w:sz w:val="21"/>
                      <w:szCs w:val="21"/>
                      <w:u w:val="single"/>
                    </w:rPr>
                    <w:t>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blHeader/>
                <w:jc w:val="center"/>
              </w:trPr>
              <w:tc>
                <w:tcPr>
                  <w:tcW w:w="751"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63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大气污染</w:t>
                  </w:r>
                </w:p>
              </w:tc>
              <w:tc>
                <w:tcPr>
                  <w:tcW w:w="165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新乡市域全部</w:t>
                  </w:r>
                </w:p>
              </w:tc>
              <w:tc>
                <w:tcPr>
                  <w:tcW w:w="1230"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blHeader/>
                <w:jc w:val="center"/>
              </w:trPr>
              <w:tc>
                <w:tcPr>
                  <w:tcW w:w="751"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63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重金属</w:t>
                  </w:r>
                </w:p>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污染</w:t>
                  </w:r>
                </w:p>
              </w:tc>
              <w:tc>
                <w:tcPr>
                  <w:tcW w:w="165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新乡县、凤泉区</w:t>
                  </w:r>
                </w:p>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（铅镉污染控制区）</w:t>
                  </w:r>
                </w:p>
              </w:tc>
              <w:tc>
                <w:tcPr>
                  <w:tcW w:w="1230" w:type="pct"/>
                  <w:vMerge w:val="continue"/>
                  <w:vAlign w:val="center"/>
                </w:tcPr>
                <w:p>
                  <w:pPr>
                    <w:adjustRightInd w:val="0"/>
                    <w:snapToGrid w:val="0"/>
                    <w:spacing w:line="240" w:lineRule="auto"/>
                    <w:ind w:firstLine="0" w:firstLineChars="0"/>
                    <w:jc w:val="center"/>
                    <w:rPr>
                      <w:b/>
                      <w:snapToGrid w:val="0"/>
                      <w:kern w:val="0"/>
                      <w:sz w:val="21"/>
                      <w:szCs w:val="21"/>
                      <w:u w:val="single"/>
                    </w:rPr>
                  </w:pPr>
                </w:p>
              </w:tc>
              <w:tc>
                <w:tcPr>
                  <w:tcW w:w="730" w:type="pct"/>
                  <w:vAlign w:val="center"/>
                </w:tcPr>
                <w:p>
                  <w:pPr>
                    <w:adjustRightInd w:val="0"/>
                    <w:snapToGrid w:val="0"/>
                    <w:spacing w:line="240" w:lineRule="auto"/>
                    <w:ind w:firstLine="0" w:firstLineChars="0"/>
                    <w:jc w:val="center"/>
                    <w:rPr>
                      <w:b/>
                      <w:snapToGrid w:val="0"/>
                      <w:kern w:val="0"/>
                      <w:sz w:val="21"/>
                      <w:szCs w:val="21"/>
                      <w:u w:val="single"/>
                    </w:rPr>
                  </w:pPr>
                  <w:r>
                    <w:rPr>
                      <w:rFonts w:hint="eastAsia"/>
                      <w:b/>
                      <w:snapToGrid w:val="0"/>
                      <w:kern w:val="0"/>
                      <w:sz w:val="21"/>
                      <w:szCs w:val="21"/>
                      <w:u w:val="single"/>
                    </w:rPr>
                    <w:t>不</w:t>
                  </w:r>
                  <w:r>
                    <w:rPr>
                      <w:b/>
                      <w:snapToGrid w:val="0"/>
                      <w:kern w:val="0"/>
                      <w:sz w:val="21"/>
                      <w:szCs w:val="21"/>
                      <w:u w:val="single"/>
                    </w:rPr>
                    <w:t>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blHeader/>
                <w:jc w:val="center"/>
              </w:trPr>
              <w:tc>
                <w:tcPr>
                  <w:tcW w:w="75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工业项目</w:t>
                  </w:r>
                </w:p>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分类</w:t>
                  </w:r>
                </w:p>
              </w:tc>
              <w:tc>
                <w:tcPr>
                  <w:tcW w:w="2289" w:type="pct"/>
                  <w:gridSpan w:val="2"/>
                  <w:vAlign w:val="center"/>
                </w:tcPr>
                <w:p>
                  <w:pPr>
                    <w:adjustRightInd w:val="0"/>
                    <w:snapToGrid w:val="0"/>
                    <w:spacing w:line="240" w:lineRule="auto"/>
                    <w:ind w:firstLine="0" w:firstLineChars="0"/>
                    <w:jc w:val="center"/>
                    <w:rPr>
                      <w:b/>
                      <w:snapToGrid w:val="0"/>
                      <w:kern w:val="0"/>
                      <w:sz w:val="21"/>
                      <w:szCs w:val="21"/>
                      <w:u w:val="single"/>
                    </w:rPr>
                  </w:pPr>
                  <w:r>
                    <w:rPr>
                      <w:rFonts w:hint="eastAsia"/>
                      <w:b/>
                      <w:snapToGrid w:val="0"/>
                      <w:kern w:val="0"/>
                      <w:sz w:val="21"/>
                      <w:szCs w:val="21"/>
                      <w:u w:val="single"/>
                    </w:rPr>
                    <w:t>一</w:t>
                  </w:r>
                  <w:r>
                    <w:rPr>
                      <w:b/>
                      <w:snapToGrid w:val="0"/>
                      <w:kern w:val="0"/>
                      <w:sz w:val="21"/>
                      <w:szCs w:val="21"/>
                      <w:u w:val="single"/>
                    </w:rPr>
                    <w:t>类工业项目，机械电子（不含电镀、喷涂工艺的机械制造；不含分割、焊接、有机溶剂清洗工艺的电子元件、集成电路等生产）</w:t>
                  </w:r>
                </w:p>
              </w:tc>
              <w:tc>
                <w:tcPr>
                  <w:tcW w:w="1230"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本项目</w:t>
                  </w:r>
                  <w:r>
                    <w:rPr>
                      <w:rFonts w:hint="eastAsia"/>
                      <w:b/>
                      <w:snapToGrid w:val="0"/>
                      <w:kern w:val="0"/>
                      <w:sz w:val="21"/>
                      <w:szCs w:val="21"/>
                      <w:u w:val="single"/>
                    </w:rPr>
                    <w:t>属于机械加工，不含电镀和喷涂</w:t>
                  </w:r>
                  <w:r>
                    <w:rPr>
                      <w:b/>
                      <w:snapToGrid w:val="0"/>
                      <w:kern w:val="0"/>
                      <w:sz w:val="21"/>
                      <w:szCs w:val="21"/>
                      <w:u w:val="single"/>
                    </w:rPr>
                    <w:t>。</w:t>
                  </w:r>
                </w:p>
              </w:tc>
              <w:tc>
                <w:tcPr>
                  <w:tcW w:w="730" w:type="pct"/>
                  <w:vAlign w:val="center"/>
                </w:tcPr>
                <w:p>
                  <w:pPr>
                    <w:adjustRightInd w:val="0"/>
                    <w:snapToGrid w:val="0"/>
                    <w:spacing w:line="240" w:lineRule="auto"/>
                    <w:ind w:firstLine="0" w:firstLineChars="0"/>
                    <w:jc w:val="center"/>
                    <w:rPr>
                      <w:b/>
                      <w:snapToGrid w:val="0"/>
                      <w:kern w:val="0"/>
                      <w:sz w:val="21"/>
                      <w:szCs w:val="21"/>
                      <w:highlight w:val="yellow"/>
                      <w:u w:val="single"/>
                    </w:rPr>
                  </w:pPr>
                  <w:r>
                    <w:rPr>
                      <w:rFonts w:hint="eastAsia"/>
                      <w:b/>
                      <w:snapToGrid w:val="0"/>
                      <w:kern w:val="0"/>
                      <w:sz w:val="21"/>
                      <w:szCs w:val="21"/>
                      <w:u w:val="single"/>
                    </w:rPr>
                    <w:t>属于一类工业项目</w:t>
                  </w:r>
                </w:p>
              </w:tc>
            </w:tr>
          </w:tbl>
          <w:p>
            <w:pPr>
              <w:adjustRightInd w:val="0"/>
              <w:snapToGrid w:val="0"/>
              <w:ind w:firstLine="482"/>
              <w:jc w:val="both"/>
              <w:textAlignment w:val="baseline"/>
              <w:rPr>
                <w:b/>
                <w:u w:val="single"/>
              </w:rPr>
            </w:pPr>
            <w:r>
              <w:rPr>
                <w:b/>
                <w:u w:val="single"/>
              </w:rPr>
              <w:t>由表5可知，本项目厂址位于农产品主产区，与农产品主产区环境准入政策要求相符性分析见表。</w:t>
            </w:r>
          </w:p>
          <w:p>
            <w:pPr>
              <w:pStyle w:val="7"/>
              <w:rPr>
                <w:b/>
                <w:sz w:val="21"/>
                <w:u w:val="single"/>
              </w:rPr>
            </w:pPr>
            <w:r>
              <w:rPr>
                <w:b/>
                <w:sz w:val="21"/>
                <w:u w:val="single"/>
              </w:rPr>
              <w:t>与农产品主产区环境准入政策要求相符性分析</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4975"/>
              <w:gridCol w:w="1778"/>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类别</w:t>
                  </w:r>
                </w:p>
              </w:tc>
              <w:tc>
                <w:tcPr>
                  <w:tcW w:w="2772"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内容</w:t>
                  </w:r>
                </w:p>
              </w:tc>
              <w:tc>
                <w:tcPr>
                  <w:tcW w:w="99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本项目情况</w:t>
                  </w:r>
                </w:p>
              </w:tc>
              <w:tc>
                <w:tcPr>
                  <w:tcW w:w="64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对比结果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简化部分审批程序</w:t>
                  </w:r>
                </w:p>
              </w:tc>
              <w:tc>
                <w:tcPr>
                  <w:tcW w:w="2772"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依据环保部《建设项目环境影响评价分类管理名录》规定，对填报环境影响登记表的项目，除畜禽养殖场、养殖小区、肉禽类加工、水产品加工、粪便处理、部分餐饮场所以及核与辐射项目外，环评文件由审批制改为备案制，即报即受理，2个工作日内办结；对编制环境影响报告表的农副产品加工项目，简化审批程序，即报即受理。</w:t>
                  </w:r>
                </w:p>
              </w:tc>
              <w:tc>
                <w:tcPr>
                  <w:tcW w:w="99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本项目不属于农副产品加工</w:t>
                  </w:r>
                </w:p>
              </w:tc>
              <w:tc>
                <w:tcPr>
                  <w:tcW w:w="64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严控重污染项目</w:t>
                  </w:r>
                </w:p>
              </w:tc>
              <w:tc>
                <w:tcPr>
                  <w:tcW w:w="2772"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不予审批《工业项目分类清单》中三类工业的新建项目和涉及重金属、持久性有机污染物排放等影响粮食生产安全的二类工业新建项目（矿产资源点状开发项目和符合省、市重大产业布局的项目除外）。</w:t>
                  </w:r>
                </w:p>
              </w:tc>
              <w:tc>
                <w:tcPr>
                  <w:tcW w:w="99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本项目属于</w:t>
                  </w:r>
                  <w:r>
                    <w:rPr>
                      <w:rFonts w:hint="eastAsia"/>
                      <w:b/>
                      <w:snapToGrid w:val="0"/>
                      <w:kern w:val="0"/>
                      <w:sz w:val="21"/>
                      <w:szCs w:val="21"/>
                      <w:u w:val="single"/>
                    </w:rPr>
                    <w:t>一</w:t>
                  </w:r>
                  <w:r>
                    <w:rPr>
                      <w:b/>
                      <w:snapToGrid w:val="0"/>
                      <w:kern w:val="0"/>
                      <w:sz w:val="21"/>
                      <w:szCs w:val="21"/>
                      <w:u w:val="single"/>
                    </w:rPr>
                    <w:t>类工业项目</w:t>
                  </w:r>
                  <w:r>
                    <w:rPr>
                      <w:rFonts w:hint="eastAsia"/>
                      <w:b/>
                      <w:snapToGrid w:val="0"/>
                      <w:kern w:val="0"/>
                      <w:sz w:val="21"/>
                      <w:szCs w:val="21"/>
                      <w:u w:val="single"/>
                    </w:rPr>
                    <w:t>。</w:t>
                  </w:r>
                </w:p>
              </w:tc>
              <w:tc>
                <w:tcPr>
                  <w:tcW w:w="64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严控部分区域重污染项目</w:t>
                  </w:r>
                </w:p>
              </w:tc>
              <w:tc>
                <w:tcPr>
                  <w:tcW w:w="2772"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在《水污染防治重点单元》区域内不予审批屠宰、酿造、含发酵工艺的粮食加工等废水排放量大且废水无法进入集中式污水处理厂处理的项目。</w:t>
                  </w:r>
                </w:p>
              </w:tc>
              <w:tc>
                <w:tcPr>
                  <w:tcW w:w="991"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本项目</w:t>
                  </w:r>
                  <w:r>
                    <w:rPr>
                      <w:rFonts w:hint="eastAsia"/>
                      <w:b/>
                      <w:snapToGrid w:val="0"/>
                      <w:kern w:val="0"/>
                      <w:sz w:val="21"/>
                      <w:szCs w:val="21"/>
                      <w:u w:val="single"/>
                    </w:rPr>
                    <w:t>不在</w:t>
                  </w:r>
                  <w:r>
                    <w:rPr>
                      <w:b/>
                      <w:snapToGrid w:val="0"/>
                      <w:kern w:val="0"/>
                      <w:sz w:val="21"/>
                      <w:szCs w:val="21"/>
                      <w:u w:val="single"/>
                    </w:rPr>
                    <w:t>《水污染防治重点单元》区域</w:t>
                  </w:r>
                  <w:r>
                    <w:rPr>
                      <w:rFonts w:hint="eastAsia"/>
                      <w:b/>
                      <w:snapToGrid w:val="0"/>
                      <w:kern w:val="0"/>
                      <w:sz w:val="21"/>
                      <w:szCs w:val="21"/>
                      <w:u w:val="single"/>
                    </w:rPr>
                    <w:t>。</w:t>
                  </w:r>
                </w:p>
              </w:tc>
              <w:tc>
                <w:tcPr>
                  <w:tcW w:w="645" w:type="pct"/>
                  <w:vAlign w:val="center"/>
                </w:tcPr>
                <w:p>
                  <w:pPr>
                    <w:adjustRightInd w:val="0"/>
                    <w:snapToGrid w:val="0"/>
                    <w:spacing w:line="240" w:lineRule="auto"/>
                    <w:ind w:firstLine="0" w:firstLineChars="0"/>
                    <w:jc w:val="center"/>
                    <w:rPr>
                      <w:b/>
                      <w:snapToGrid w:val="0"/>
                      <w:kern w:val="0"/>
                      <w:sz w:val="21"/>
                      <w:szCs w:val="21"/>
                      <w:u w:val="single"/>
                    </w:rPr>
                  </w:pPr>
                  <w:r>
                    <w:rPr>
                      <w:b/>
                      <w:snapToGrid w:val="0"/>
                      <w:kern w:val="0"/>
                      <w:sz w:val="21"/>
                      <w:szCs w:val="21"/>
                      <w:u w:val="single"/>
                    </w:rPr>
                    <w:t>不属于</w:t>
                  </w:r>
                </w:p>
              </w:tc>
            </w:tr>
          </w:tbl>
          <w:p>
            <w:pPr>
              <w:adjustRightInd w:val="0"/>
              <w:snapToGrid w:val="0"/>
              <w:ind w:firstLine="482"/>
              <w:jc w:val="both"/>
              <w:textAlignment w:val="baseline"/>
              <w:rPr>
                <w:b/>
                <w:u w:val="single"/>
              </w:rPr>
            </w:pPr>
            <w:r>
              <w:rPr>
                <w:b/>
                <w:u w:val="single"/>
              </w:rPr>
              <w:t>由表6可知，本项目不属于《通知》中所列不予审批的项目，符合审批条件。</w:t>
            </w:r>
          </w:p>
          <w:p>
            <w:pPr>
              <w:pStyle w:val="18"/>
              <w:spacing w:line="520" w:lineRule="exact"/>
              <w:ind w:firstLine="0" w:firstLineChars="0"/>
              <w:jc w:val="both"/>
              <w:outlineLvl w:val="9"/>
              <w:rPr>
                <w:rFonts w:ascii="Times New Roman" w:hAnsi="Times New Roman"/>
                <w:bCs/>
                <w:kern w:val="2"/>
                <w:sz w:val="24"/>
                <w:szCs w:val="24"/>
                <w:u w:val="single"/>
              </w:rPr>
            </w:pPr>
            <w:r>
              <w:rPr>
                <w:rFonts w:hint="eastAsia" w:ascii="Times New Roman" w:hAnsi="Times New Roman"/>
                <w:bCs/>
                <w:kern w:val="2"/>
                <w:sz w:val="24"/>
                <w:szCs w:val="24"/>
                <w:u w:val="single"/>
              </w:rPr>
              <w:t>8、与《河南省工业大气污染防治</w:t>
            </w:r>
            <w:r>
              <w:rPr>
                <w:rFonts w:ascii="Times New Roman" w:hAnsi="Times New Roman"/>
                <w:bCs/>
                <w:kern w:val="2"/>
                <w:sz w:val="24"/>
                <w:szCs w:val="24"/>
                <w:u w:val="single"/>
              </w:rPr>
              <w:t>6</w:t>
            </w:r>
            <w:r>
              <w:rPr>
                <w:rFonts w:hint="eastAsia" w:ascii="Times New Roman" w:hAnsi="Times New Roman"/>
                <w:bCs/>
                <w:kern w:val="2"/>
                <w:sz w:val="24"/>
                <w:szCs w:val="24"/>
                <w:u w:val="single"/>
              </w:rPr>
              <w:t>个专项方案》的相符性分析</w:t>
            </w:r>
          </w:p>
          <w:p>
            <w:pPr>
              <w:spacing w:line="500" w:lineRule="exact"/>
              <w:ind w:firstLine="482"/>
              <w:jc w:val="both"/>
              <w:rPr>
                <w:b/>
                <w:bCs/>
                <w:szCs w:val="22"/>
                <w:u w:val="single"/>
              </w:rPr>
            </w:pPr>
            <w:r>
              <w:rPr>
                <w:rFonts w:hint="eastAsia"/>
                <w:b/>
                <w:bCs/>
                <w:u w:val="single"/>
              </w:rPr>
              <w:t>本项目涉及无组织排放，应与《</w:t>
            </w:r>
            <w:r>
              <w:rPr>
                <w:b/>
                <w:bCs/>
                <w:u w:val="single"/>
              </w:rPr>
              <w:t>河南省</w:t>
            </w:r>
            <w:r>
              <w:rPr>
                <w:rFonts w:hint="eastAsia"/>
                <w:b/>
                <w:bCs/>
                <w:u w:val="single"/>
              </w:rPr>
              <w:t>工业</w:t>
            </w:r>
            <w:r>
              <w:rPr>
                <w:b/>
                <w:bCs/>
                <w:u w:val="single"/>
              </w:rPr>
              <w:t>大气污染防治</w:t>
            </w:r>
            <w:r>
              <w:rPr>
                <w:rFonts w:hint="eastAsia"/>
                <w:b/>
                <w:bCs/>
                <w:u w:val="single"/>
              </w:rPr>
              <w:t>6个专项方案》（豫环文[2019]84号）</w:t>
            </w:r>
            <w:r>
              <w:rPr>
                <w:b/>
                <w:bCs/>
                <w:u w:val="single"/>
              </w:rPr>
              <w:t>（以下简称《</w:t>
            </w:r>
            <w:r>
              <w:rPr>
                <w:rFonts w:hint="eastAsia"/>
                <w:b/>
                <w:bCs/>
                <w:u w:val="single"/>
              </w:rPr>
              <w:t>6个专项</w:t>
            </w:r>
            <w:r>
              <w:rPr>
                <w:b/>
                <w:bCs/>
                <w:u w:val="single"/>
              </w:rPr>
              <w:t>》）</w:t>
            </w:r>
            <w:r>
              <w:rPr>
                <w:rFonts w:hint="eastAsia"/>
                <w:b/>
                <w:bCs/>
                <w:u w:val="single"/>
              </w:rPr>
              <w:t>中的《河南省2019年工业企业无组织排放治理方案》进行对比，</w:t>
            </w:r>
            <w:r>
              <w:rPr>
                <w:b/>
                <w:bCs/>
                <w:u w:val="single"/>
              </w:rPr>
              <w:t>分析见</w:t>
            </w:r>
            <w:r>
              <w:rPr>
                <w:rFonts w:hint="eastAsia"/>
                <w:b/>
                <w:bCs/>
                <w:u w:val="single"/>
              </w:rPr>
              <w:t>下</w:t>
            </w:r>
            <w:r>
              <w:rPr>
                <w:b/>
                <w:bCs/>
                <w:u w:val="single"/>
              </w:rPr>
              <w:t>表</w:t>
            </w:r>
            <w:r>
              <w:rPr>
                <w:rFonts w:hint="eastAsia"/>
                <w:b/>
                <w:bCs/>
                <w:u w:val="single"/>
              </w:rPr>
              <w:t>。</w:t>
            </w:r>
          </w:p>
          <w:p>
            <w:pPr>
              <w:pStyle w:val="7"/>
              <w:rPr>
                <w:b/>
                <w:sz w:val="21"/>
                <w:u w:val="single"/>
              </w:rPr>
            </w:pPr>
            <w:r>
              <w:rPr>
                <w:b/>
                <w:sz w:val="21"/>
                <w:u w:val="single"/>
              </w:rPr>
              <w:t>与《6个专项》对比分析一览表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5104"/>
              <w:gridCol w:w="15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专项名称</w:t>
                  </w:r>
                </w:p>
              </w:tc>
              <w:tc>
                <w:tcPr>
                  <w:tcW w:w="2844"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《通知》中有关要求</w:t>
                  </w:r>
                </w:p>
              </w:tc>
              <w:tc>
                <w:tcPr>
                  <w:tcW w:w="87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企业建设情况</w:t>
                  </w:r>
                </w:p>
              </w:tc>
              <w:tc>
                <w:tcPr>
                  <w:tcW w:w="649"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对比结论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35"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河南省2019年工业企业无组织排放治理方案</w:t>
                  </w:r>
                </w:p>
              </w:tc>
              <w:tc>
                <w:tcPr>
                  <w:tcW w:w="2844" w:type="pct"/>
                  <w:vAlign w:val="center"/>
                </w:tcPr>
                <w:p>
                  <w:pPr>
                    <w:adjustRightInd w:val="0"/>
                    <w:snapToGrid w:val="0"/>
                    <w:spacing w:line="240" w:lineRule="auto"/>
                    <w:ind w:firstLineChars="0"/>
                    <w:jc w:val="both"/>
                    <w:rPr>
                      <w:b/>
                      <w:bCs/>
                      <w:sz w:val="21"/>
                      <w:szCs w:val="21"/>
                      <w:u w:val="single"/>
                    </w:rPr>
                  </w:pPr>
                  <w:r>
                    <w:rPr>
                      <w:rFonts w:hint="eastAsia"/>
                      <w:b/>
                      <w:bCs/>
                      <w:sz w:val="21"/>
                      <w:szCs w:val="21"/>
                      <w:u w:val="single"/>
                    </w:rPr>
                    <w:t>其它行业无组织排放治理标准</w:t>
                  </w:r>
                </w:p>
                <w:p>
                  <w:pPr>
                    <w:adjustRightInd w:val="0"/>
                    <w:snapToGrid w:val="0"/>
                    <w:spacing w:line="240" w:lineRule="auto"/>
                    <w:ind w:firstLine="0" w:firstLineChars="0"/>
                    <w:rPr>
                      <w:b/>
                      <w:bCs/>
                      <w:sz w:val="21"/>
                      <w:szCs w:val="21"/>
                      <w:u w:val="single"/>
                    </w:rPr>
                  </w:pPr>
                  <w:r>
                    <w:rPr>
                      <w:rFonts w:hint="eastAsia"/>
                      <w:b/>
                      <w:bCs/>
                      <w:sz w:val="21"/>
                      <w:szCs w:val="21"/>
                      <w:u w:val="single"/>
                    </w:rPr>
                    <w:t>（三）生产环节治理：</w:t>
                  </w:r>
                </w:p>
                <w:p>
                  <w:pPr>
                    <w:adjustRightInd w:val="0"/>
                    <w:snapToGrid w:val="0"/>
                    <w:spacing w:line="240" w:lineRule="auto"/>
                    <w:ind w:firstLine="0" w:firstLineChars="0"/>
                    <w:rPr>
                      <w:b/>
                      <w:bCs/>
                      <w:sz w:val="21"/>
                      <w:szCs w:val="21"/>
                      <w:u w:val="single"/>
                    </w:rPr>
                  </w:pPr>
                  <w:r>
                    <w:rPr>
                      <w:rFonts w:hint="eastAsia"/>
                      <w:b/>
                      <w:bCs/>
                      <w:sz w:val="21"/>
                      <w:szCs w:val="21"/>
                      <w:u w:val="single"/>
                    </w:rPr>
                    <w:t>1、物料上料、破碎、筛分、混料等生产过程中的产尘点应在封闭的厂房内进行二次封闭，并安装集气设施和除尘设施。</w:t>
                  </w:r>
                </w:p>
                <w:p>
                  <w:pPr>
                    <w:adjustRightInd w:val="0"/>
                    <w:snapToGrid w:val="0"/>
                    <w:spacing w:line="240" w:lineRule="auto"/>
                    <w:ind w:firstLine="0" w:firstLineChars="0"/>
                    <w:rPr>
                      <w:b/>
                      <w:bCs/>
                      <w:sz w:val="21"/>
                      <w:szCs w:val="21"/>
                      <w:u w:val="single"/>
                    </w:rPr>
                  </w:pPr>
                  <w:r>
                    <w:rPr>
                      <w:rFonts w:hint="eastAsia"/>
                      <w:b/>
                      <w:bCs/>
                      <w:sz w:val="21"/>
                      <w:szCs w:val="21"/>
                      <w:u w:val="single"/>
                    </w:rPr>
                    <w:t>2、在生产过程中的产生VOCS的工序应在封闭的厂房内进行二次封闭，并安装集气设施和VOCS处理设施。</w:t>
                  </w:r>
                </w:p>
                <w:p>
                  <w:pPr>
                    <w:adjustRightInd w:val="0"/>
                    <w:snapToGrid w:val="0"/>
                    <w:spacing w:line="240" w:lineRule="auto"/>
                    <w:ind w:firstLine="0" w:firstLineChars="0"/>
                    <w:rPr>
                      <w:b/>
                      <w:bCs/>
                      <w:sz w:val="21"/>
                      <w:szCs w:val="21"/>
                      <w:u w:val="single"/>
                    </w:rPr>
                  </w:pPr>
                  <w:r>
                    <w:rPr>
                      <w:rFonts w:hint="eastAsia"/>
                      <w:b/>
                      <w:bCs/>
                      <w:sz w:val="21"/>
                      <w:szCs w:val="21"/>
                      <w:u w:val="single"/>
                    </w:rPr>
                    <w:t>3、其他方面：禁止生产车间内散放原料，需采用全封闭式地下料仓，并配备完备的废气收集和处理系统，生产环节必须在密闭良好的车间内运行。</w:t>
                  </w:r>
                </w:p>
              </w:tc>
              <w:tc>
                <w:tcPr>
                  <w:tcW w:w="872" w:type="pct"/>
                  <w:vAlign w:val="center"/>
                </w:tcPr>
                <w:p>
                  <w:pPr>
                    <w:adjustRightInd w:val="0"/>
                    <w:snapToGrid w:val="0"/>
                    <w:spacing w:line="240" w:lineRule="auto"/>
                    <w:ind w:firstLine="0" w:firstLineChars="0"/>
                    <w:jc w:val="center"/>
                    <w:rPr>
                      <w:b/>
                      <w:bCs/>
                      <w:sz w:val="21"/>
                      <w:szCs w:val="21"/>
                      <w:u w:val="single"/>
                    </w:rPr>
                  </w:pPr>
                  <w:r>
                    <w:rPr>
                      <w:b/>
                      <w:bCs/>
                      <w:sz w:val="21"/>
                      <w:szCs w:val="21"/>
                      <w:u w:val="single"/>
                    </w:rPr>
                    <w:t>本项目不涉及上料、破碎、筛分等工艺。项目不涉及VOCs。</w:t>
                  </w:r>
                </w:p>
              </w:tc>
              <w:tc>
                <w:tcPr>
                  <w:tcW w:w="649"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符合</w:t>
                  </w:r>
                </w:p>
              </w:tc>
            </w:tr>
          </w:tbl>
          <w:p>
            <w:pPr>
              <w:pStyle w:val="18"/>
              <w:spacing w:line="520" w:lineRule="exact"/>
              <w:ind w:firstLine="0" w:firstLineChars="0"/>
              <w:jc w:val="both"/>
              <w:outlineLvl w:val="9"/>
              <w:rPr>
                <w:rFonts w:ascii="Times New Roman" w:hAnsi="Times New Roman"/>
                <w:bCs/>
                <w:kern w:val="2"/>
                <w:sz w:val="24"/>
                <w:szCs w:val="24"/>
                <w:u w:val="single"/>
              </w:rPr>
            </w:pPr>
            <w:r>
              <w:rPr>
                <w:rFonts w:hint="eastAsia" w:ascii="Times New Roman" w:hAnsi="Times New Roman"/>
                <w:bCs/>
                <w:kern w:val="2"/>
                <w:sz w:val="24"/>
                <w:szCs w:val="24"/>
                <w:u w:val="single"/>
              </w:rPr>
              <w:t>9、</w:t>
            </w:r>
            <w:r>
              <w:rPr>
                <w:rFonts w:ascii="Times New Roman" w:hAnsi="Times New Roman"/>
                <w:bCs/>
                <w:kern w:val="2"/>
                <w:sz w:val="24"/>
                <w:szCs w:val="24"/>
                <w:u w:val="single"/>
              </w:rPr>
              <w:t>与</w:t>
            </w:r>
            <w:r>
              <w:rPr>
                <w:rFonts w:hint="eastAsia" w:ascii="Times New Roman" w:hAnsi="Times New Roman"/>
                <w:bCs/>
                <w:kern w:val="2"/>
                <w:sz w:val="24"/>
                <w:szCs w:val="24"/>
                <w:u w:val="single"/>
              </w:rPr>
              <w:t>《</w:t>
            </w:r>
            <w:r>
              <w:rPr>
                <w:rFonts w:ascii="Times New Roman" w:hAnsi="Times New Roman"/>
                <w:bCs/>
                <w:kern w:val="2"/>
                <w:sz w:val="24"/>
                <w:szCs w:val="24"/>
                <w:u w:val="single"/>
              </w:rPr>
              <w:t>新乡市2019年大气污染防治攻坚战实施方案</w:t>
            </w:r>
            <w:r>
              <w:rPr>
                <w:rFonts w:hint="eastAsia" w:ascii="Times New Roman" w:hAnsi="Times New Roman"/>
                <w:bCs/>
                <w:kern w:val="2"/>
                <w:sz w:val="24"/>
                <w:szCs w:val="24"/>
                <w:u w:val="single"/>
              </w:rPr>
              <w:t>》</w:t>
            </w:r>
            <w:r>
              <w:rPr>
                <w:rFonts w:ascii="Times New Roman" w:hAnsi="Times New Roman"/>
                <w:bCs/>
                <w:kern w:val="2"/>
                <w:sz w:val="24"/>
                <w:szCs w:val="24"/>
                <w:u w:val="single"/>
              </w:rPr>
              <w:t>对照分析</w:t>
            </w:r>
          </w:p>
          <w:p>
            <w:pPr>
              <w:ind w:firstLine="482"/>
              <w:jc w:val="both"/>
              <w:rPr>
                <w:b/>
                <w:u w:val="single"/>
              </w:rPr>
            </w:pPr>
            <w:r>
              <w:rPr>
                <w:rFonts w:hint="eastAsia"/>
                <w:b/>
                <w:u w:val="single"/>
              </w:rPr>
              <w:t>与《新乡市2019年大气污染防治攻坚战实施方案》对照分析</w:t>
            </w:r>
            <w:r>
              <w:rPr>
                <w:b/>
                <w:u w:val="single"/>
              </w:rPr>
              <w:t>见下表。</w:t>
            </w:r>
          </w:p>
          <w:p>
            <w:pPr>
              <w:pStyle w:val="7"/>
              <w:rPr>
                <w:b/>
                <w:sz w:val="21"/>
                <w:u w:val="single"/>
              </w:rPr>
            </w:pPr>
            <w:r>
              <w:rPr>
                <w:rFonts w:hint="eastAsia"/>
                <w:b/>
                <w:sz w:val="21"/>
                <w:u w:val="single"/>
              </w:rPr>
              <w:t>本项目与</w:t>
            </w:r>
            <w:r>
              <w:rPr>
                <w:b/>
                <w:sz w:val="21"/>
                <w:u w:val="single"/>
              </w:rPr>
              <w:t>《新乡市2019年大气污染防治攻坚战实施方案》</w:t>
            </w:r>
            <w:r>
              <w:rPr>
                <w:rFonts w:hint="eastAsia"/>
                <w:b/>
                <w:sz w:val="21"/>
                <w:u w:val="single"/>
              </w:rPr>
              <w:t>相符性分析</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5479"/>
              <w:gridCol w:w="152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序号</w:t>
                  </w:r>
                </w:p>
              </w:tc>
              <w:tc>
                <w:tcPr>
                  <w:tcW w:w="3078"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有关要求</w:t>
                  </w:r>
                </w:p>
              </w:tc>
              <w:tc>
                <w:tcPr>
                  <w:tcW w:w="876"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企业建设情况</w:t>
                  </w:r>
                </w:p>
              </w:tc>
              <w:tc>
                <w:tcPr>
                  <w:tcW w:w="648"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对比结论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98" w:type="pct"/>
                  <w:vMerge w:val="restar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（七）打好工业绿色升级战役</w:t>
                  </w:r>
                </w:p>
                <w:p>
                  <w:pPr>
                    <w:adjustRightInd w:val="0"/>
                    <w:snapToGrid w:val="0"/>
                    <w:spacing w:line="240" w:lineRule="auto"/>
                    <w:ind w:firstLine="0" w:firstLineChars="0"/>
                    <w:jc w:val="center"/>
                    <w:rPr>
                      <w:b/>
                      <w:bCs/>
                      <w:sz w:val="21"/>
                      <w:szCs w:val="21"/>
                      <w:u w:val="single"/>
                    </w:rPr>
                  </w:pPr>
                </w:p>
              </w:tc>
              <w:tc>
                <w:tcPr>
                  <w:tcW w:w="3078"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31.开展工业企业无组织排放治理。2019年10月底前，全市工业企业完成物料运输、生产工艺、堆场环节的无组织排放深度治理，全面实现“五到位、一密闭”。“五到位”即：生产过程收尘到位，生产工艺产尘点设置集气罩并配备除尘设施，不能有可见烟尘外逸；物料运输抑尘到位，粉状、粒状物料及燃料运输采用密闭皮带、密闭通廊、管状带式输送机或密闭车厢、真空罐车、气力输送等密闭方式，汽车、火车、皮带输送机等卸料点设置集气罩或密闭罩，并配备除尘设施；厂区道路除尘到位，路面实施硬化，定时进行洒水清扫，出口处配备车轮和车身清洗装置；裸露土地绿化到位，厂区内可见裸露土地全部绿化，确实不能绿化的尽可能硬化；无组织排放监控到位，因企制宜安装视频、空气微站、降尘缸、TSP（总悬浮颗粒物）等监控设施。“一密闭”即：厂区内贮存的各类易产生粉尘的物料及燃料全部密闭，禁止露天堆放。</w:t>
                  </w:r>
                </w:p>
              </w:tc>
              <w:tc>
                <w:tcPr>
                  <w:tcW w:w="876"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本项目原料、产品储存及运输过程不产尘，仅生产过程中产尘，各产尘节点均配备废气收集及除尘设施。</w:t>
                  </w:r>
                </w:p>
              </w:tc>
              <w:tc>
                <w:tcPr>
                  <w:tcW w:w="648" w:type="pct"/>
                  <w:vMerge w:val="restar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98" w:type="pct"/>
                  <w:vMerge w:val="continue"/>
                  <w:vAlign w:val="center"/>
                </w:tcPr>
                <w:p>
                  <w:pPr>
                    <w:adjustRightInd w:val="0"/>
                    <w:snapToGrid w:val="0"/>
                    <w:spacing w:line="240" w:lineRule="auto"/>
                    <w:ind w:firstLine="0" w:firstLineChars="0"/>
                    <w:jc w:val="center"/>
                    <w:rPr>
                      <w:b/>
                      <w:bCs/>
                      <w:sz w:val="21"/>
                      <w:szCs w:val="21"/>
                      <w:u w:val="single"/>
                    </w:rPr>
                  </w:pPr>
                </w:p>
              </w:tc>
              <w:tc>
                <w:tcPr>
                  <w:tcW w:w="3078"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33.开展挥发性有机物（VOCs）无组织排放治理</w:t>
                  </w:r>
                </w:p>
                <w:p>
                  <w:pPr>
                    <w:adjustRightInd w:val="0"/>
                    <w:snapToGrid w:val="0"/>
                    <w:spacing w:line="240" w:lineRule="auto"/>
                    <w:ind w:firstLine="0" w:firstLineChars="0"/>
                    <w:rPr>
                      <w:b/>
                      <w:bCs/>
                      <w:sz w:val="21"/>
                      <w:szCs w:val="21"/>
                      <w:u w:val="single"/>
                    </w:rPr>
                  </w:pPr>
                  <w:r>
                    <w:rPr>
                      <w:rFonts w:hint="eastAsia"/>
                      <w:b/>
                      <w:bCs/>
                      <w:sz w:val="21"/>
                      <w:szCs w:val="21"/>
                      <w:u w:val="single"/>
                    </w:rPr>
                    <w:t>结合第二次污染源普查，对全市所有VOCs排放的工业企业逐企建立清单台账。2019年6月底前，全市工业涂装、包装印刷、化工、制药等工业企业，全面完成VOCs无组织排放治理，原料、中间产品与成品应密闭储存，排放VOCs的生产工序要在密闭空间或设备中实施，对产生的含VOCs废气进行净化处理，达到河南省工业企业挥发性有机物专项治理工作中排放建议值要求。12月底前，城市建成区全面淘汰开启式干洗机。</w:t>
                  </w:r>
                </w:p>
              </w:tc>
              <w:tc>
                <w:tcPr>
                  <w:tcW w:w="876"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项目不涉及VOCs。</w:t>
                  </w:r>
                </w:p>
              </w:tc>
              <w:tc>
                <w:tcPr>
                  <w:tcW w:w="648" w:type="pct"/>
                  <w:vMerge w:val="continue"/>
                  <w:vAlign w:val="center"/>
                </w:tcPr>
                <w:p>
                  <w:pPr>
                    <w:adjustRightInd w:val="0"/>
                    <w:snapToGrid w:val="0"/>
                    <w:spacing w:line="240" w:lineRule="auto"/>
                    <w:ind w:firstLine="0" w:firstLineChars="0"/>
                    <w:jc w:val="center"/>
                    <w:rPr>
                      <w:b/>
                      <w:sz w:val="28"/>
                      <w:szCs w:val="21"/>
                      <w:u w:val="single"/>
                    </w:rPr>
                  </w:pPr>
                </w:p>
              </w:tc>
            </w:tr>
          </w:tbl>
          <w:p>
            <w:pPr>
              <w:ind w:firstLine="482"/>
              <w:rPr>
                <w:b/>
                <w:sz w:val="28"/>
                <w:szCs w:val="22"/>
                <w:u w:val="single"/>
              </w:rPr>
            </w:pPr>
            <w:r>
              <w:rPr>
                <w:rFonts w:hint="eastAsia"/>
                <w:b/>
                <w:u w:val="single"/>
              </w:rPr>
              <w:t>由上表可知，本项目符合《新乡市2019年大气污染防治攻坚战实施方案》相关要求。</w:t>
            </w:r>
          </w:p>
          <w:p>
            <w:pPr>
              <w:pStyle w:val="18"/>
              <w:spacing w:line="520" w:lineRule="exact"/>
              <w:ind w:firstLine="0" w:firstLineChars="0"/>
              <w:jc w:val="both"/>
              <w:outlineLvl w:val="9"/>
              <w:rPr>
                <w:rFonts w:ascii="Times New Roman" w:hAnsi="Times New Roman"/>
                <w:b w:val="0"/>
                <w:bCs/>
                <w:kern w:val="2"/>
                <w:sz w:val="24"/>
                <w:szCs w:val="24"/>
                <w:u w:val="single"/>
              </w:rPr>
            </w:pPr>
            <w:r>
              <w:rPr>
                <w:rFonts w:hint="eastAsia" w:ascii="Times New Roman" w:hAnsi="Times New Roman"/>
                <w:bCs/>
                <w:kern w:val="2"/>
                <w:sz w:val="24"/>
                <w:szCs w:val="24"/>
                <w:u w:val="single"/>
              </w:rPr>
              <w:t>10、</w:t>
            </w:r>
            <w:r>
              <w:rPr>
                <w:rFonts w:ascii="Times New Roman" w:hAnsi="Times New Roman"/>
                <w:bCs/>
                <w:kern w:val="2"/>
                <w:sz w:val="24"/>
                <w:szCs w:val="24"/>
                <w:u w:val="single"/>
              </w:rPr>
              <w:t>与《新乡市环境污染攻坚战三年行动实施方案》（2018-2020）对照分析</w:t>
            </w:r>
          </w:p>
          <w:p>
            <w:pPr>
              <w:ind w:firstLine="482"/>
              <w:jc w:val="both"/>
              <w:rPr>
                <w:b/>
                <w:u w:val="single"/>
              </w:rPr>
            </w:pPr>
            <w:r>
              <w:rPr>
                <w:rFonts w:hint="eastAsia"/>
                <w:b/>
                <w:u w:val="single"/>
              </w:rPr>
              <w:t>与《新乡市环境污染攻坚战三年行动实施方案》（2018-2020）（以下简称《方案》）对照分析</w:t>
            </w:r>
            <w:r>
              <w:rPr>
                <w:b/>
                <w:u w:val="single"/>
              </w:rPr>
              <w:t>见下表。</w:t>
            </w:r>
          </w:p>
          <w:p>
            <w:pPr>
              <w:pStyle w:val="7"/>
              <w:rPr>
                <w:b/>
                <w:sz w:val="21"/>
                <w:u w:val="single"/>
              </w:rPr>
            </w:pPr>
            <w:r>
              <w:rPr>
                <w:rFonts w:hint="eastAsia"/>
                <w:b/>
                <w:sz w:val="21"/>
                <w:u w:val="single"/>
              </w:rPr>
              <w:t>本项目与《方案》相符性分析</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5064"/>
              <w:gridCol w:w="134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类别</w:t>
                  </w:r>
                </w:p>
              </w:tc>
              <w:tc>
                <w:tcPr>
                  <w:tcW w:w="282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内容</w:t>
                  </w:r>
                </w:p>
              </w:tc>
              <w:tc>
                <w:tcPr>
                  <w:tcW w:w="751"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本项目情况</w:t>
                  </w:r>
                </w:p>
              </w:tc>
              <w:tc>
                <w:tcPr>
                  <w:tcW w:w="61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对比结果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Merge w:val="restar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二、坚决打赢蓝天保卫战</w:t>
                  </w:r>
                </w:p>
              </w:tc>
              <w:tc>
                <w:tcPr>
                  <w:tcW w:w="2822"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（二）产业结构优化工程</w:t>
                  </w:r>
                </w:p>
                <w:p>
                  <w:pPr>
                    <w:adjustRightInd w:val="0"/>
                    <w:snapToGrid w:val="0"/>
                    <w:spacing w:line="240" w:lineRule="auto"/>
                    <w:ind w:firstLine="0" w:firstLineChars="0"/>
                    <w:rPr>
                      <w:b/>
                      <w:bCs/>
                      <w:sz w:val="21"/>
                      <w:szCs w:val="21"/>
                      <w:u w:val="single"/>
                    </w:rPr>
                  </w:pPr>
                  <w:r>
                    <w:rPr>
                      <w:rFonts w:hint="eastAsia"/>
                      <w:b/>
                      <w:bCs/>
                      <w:sz w:val="21"/>
                      <w:szCs w:val="21"/>
                      <w:u w:val="single"/>
                    </w:rPr>
                    <w:t>9.严格环境准入门槛</w:t>
                  </w:r>
                </w:p>
                <w:p>
                  <w:pPr>
                    <w:adjustRightInd w:val="0"/>
                    <w:snapToGrid w:val="0"/>
                    <w:spacing w:line="240" w:lineRule="auto"/>
                    <w:ind w:firstLine="422"/>
                    <w:rPr>
                      <w:b/>
                      <w:bCs/>
                      <w:sz w:val="21"/>
                      <w:szCs w:val="21"/>
                      <w:u w:val="single"/>
                    </w:rPr>
                  </w:pPr>
                  <w:r>
                    <w:rPr>
                      <w:rFonts w:hint="eastAsia"/>
                      <w:b/>
                      <w:bCs/>
                      <w:sz w:val="21"/>
                      <w:szCs w:val="21"/>
                      <w:u w:val="single"/>
                    </w:rPr>
                    <w:t>禁止建设生产和使用高VOCs含量的溶剂型涂料、油墨、胶黏剂项目。其他新、改、扩建排放VOCs的项目，应从源头加强控制，使用低（无）VOCs含量的原辅材料，配套安装高效收集、治理设施，其中新建涉VOCs排放的工业企业要入园区，实行区域内VOCs排放总量倍量消减替代。</w:t>
                  </w:r>
                </w:p>
              </w:tc>
              <w:tc>
                <w:tcPr>
                  <w:tcW w:w="751" w:type="pct"/>
                  <w:vMerge w:val="restar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本项目不涉及VOCs。</w:t>
                  </w:r>
                </w:p>
              </w:tc>
              <w:tc>
                <w:tcPr>
                  <w:tcW w:w="61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Merge w:val="continue"/>
                  <w:vAlign w:val="center"/>
                </w:tcPr>
                <w:p>
                  <w:pPr>
                    <w:adjustRightInd w:val="0"/>
                    <w:snapToGrid w:val="0"/>
                    <w:spacing w:line="360" w:lineRule="exact"/>
                    <w:ind w:firstLine="0" w:firstLineChars="0"/>
                    <w:jc w:val="center"/>
                    <w:rPr>
                      <w:rFonts w:ascii="Georgia" w:hAnsi="Georgia"/>
                      <w:b/>
                      <w:sz w:val="28"/>
                      <w:szCs w:val="21"/>
                      <w:u w:val="single"/>
                    </w:rPr>
                  </w:pPr>
                </w:p>
              </w:tc>
              <w:tc>
                <w:tcPr>
                  <w:tcW w:w="2822"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（三）工业污染治理工程</w:t>
                  </w:r>
                </w:p>
                <w:p>
                  <w:pPr>
                    <w:adjustRightInd w:val="0"/>
                    <w:snapToGrid w:val="0"/>
                    <w:spacing w:line="240" w:lineRule="auto"/>
                    <w:ind w:firstLine="0" w:firstLineChars="0"/>
                    <w:rPr>
                      <w:b/>
                      <w:bCs/>
                      <w:sz w:val="21"/>
                      <w:szCs w:val="21"/>
                      <w:u w:val="single"/>
                    </w:rPr>
                  </w:pPr>
                  <w:r>
                    <w:rPr>
                      <w:rFonts w:hint="eastAsia"/>
                      <w:b/>
                      <w:bCs/>
                      <w:sz w:val="21"/>
                      <w:szCs w:val="21"/>
                      <w:u w:val="single"/>
                    </w:rPr>
                    <w:t>20.加快工业源VOCs治理</w:t>
                  </w:r>
                </w:p>
                <w:p>
                  <w:pPr>
                    <w:adjustRightInd w:val="0"/>
                    <w:snapToGrid w:val="0"/>
                    <w:spacing w:line="240" w:lineRule="auto"/>
                    <w:ind w:firstLine="422"/>
                    <w:rPr>
                      <w:b/>
                      <w:bCs/>
                      <w:sz w:val="21"/>
                      <w:szCs w:val="21"/>
                      <w:u w:val="single"/>
                    </w:rPr>
                  </w:pPr>
                  <w:r>
                    <w:rPr>
                      <w:rFonts w:hint="eastAsia"/>
                      <w:b/>
                      <w:bCs/>
                      <w:sz w:val="21"/>
                      <w:szCs w:val="21"/>
                      <w:u w:val="single"/>
                    </w:rPr>
                    <w:t>坚持源头减排、过程控制、末端治理和强化管理相结合的综合防治原则，深入开展工业VOCs治理。对VOCs废气末端处理工艺进行提升改造，鼓励企业采用多种技术组合工艺，提高VOCs治理效率。</w:t>
                  </w:r>
                </w:p>
              </w:tc>
              <w:tc>
                <w:tcPr>
                  <w:tcW w:w="751" w:type="pct"/>
                  <w:vMerge w:val="continue"/>
                  <w:vAlign w:val="center"/>
                </w:tcPr>
                <w:p>
                  <w:pPr>
                    <w:adjustRightInd w:val="0"/>
                    <w:snapToGrid w:val="0"/>
                    <w:spacing w:line="240" w:lineRule="auto"/>
                    <w:ind w:firstLine="0" w:firstLineChars="0"/>
                    <w:rPr>
                      <w:b/>
                      <w:bCs/>
                      <w:sz w:val="21"/>
                      <w:szCs w:val="21"/>
                      <w:u w:val="single"/>
                    </w:rPr>
                  </w:pPr>
                </w:p>
              </w:tc>
              <w:tc>
                <w:tcPr>
                  <w:tcW w:w="61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三、全面打好碧水保卫战</w:t>
                  </w:r>
                </w:p>
              </w:tc>
              <w:tc>
                <w:tcPr>
                  <w:tcW w:w="2822"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2、防控农村改厕后粪污污染</w:t>
                  </w:r>
                </w:p>
                <w:p>
                  <w:pPr>
                    <w:adjustRightInd w:val="0"/>
                    <w:snapToGrid w:val="0"/>
                    <w:spacing w:line="240" w:lineRule="auto"/>
                    <w:ind w:firstLine="422"/>
                    <w:rPr>
                      <w:b/>
                      <w:bCs/>
                      <w:sz w:val="21"/>
                      <w:szCs w:val="21"/>
                      <w:u w:val="single"/>
                    </w:rPr>
                  </w:pPr>
                  <w:r>
                    <w:rPr>
                      <w:rFonts w:hint="eastAsia"/>
                      <w:b/>
                      <w:bCs/>
                      <w:sz w:val="21"/>
                      <w:szCs w:val="21"/>
                      <w:u w:val="single"/>
                    </w:rPr>
                    <w:t>农村改厕后的粪污必须得到有效收集处理或利用，坚决防止污染公共水体。改厕后，污水能进入管网及处理设施的，必须全部收集、全部处理并达标排放；不能进入污水处理设施的，应采取定期抽运等收集处置方式，予以综合利用，有效管控改厕之后产生的粪污。</w:t>
                  </w:r>
                </w:p>
              </w:tc>
              <w:tc>
                <w:tcPr>
                  <w:tcW w:w="751"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本项目位于河南省新乡市封丘县留光镇农民创业园04号，生产过程中不产生废水，生活污水经化粪池处理后定期清运，不外排。</w:t>
                  </w:r>
                </w:p>
              </w:tc>
              <w:tc>
                <w:tcPr>
                  <w:tcW w:w="61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四、扎实推进净土保卫战</w:t>
                  </w:r>
                </w:p>
              </w:tc>
              <w:tc>
                <w:tcPr>
                  <w:tcW w:w="2822"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（三）加强土壤污染源头管控，预防土壤环境污染</w:t>
                  </w:r>
                </w:p>
                <w:p>
                  <w:pPr>
                    <w:adjustRightInd w:val="0"/>
                    <w:snapToGrid w:val="0"/>
                    <w:spacing w:line="240" w:lineRule="auto"/>
                    <w:ind w:firstLine="422"/>
                    <w:rPr>
                      <w:b/>
                      <w:bCs/>
                      <w:sz w:val="21"/>
                      <w:szCs w:val="21"/>
                      <w:u w:val="single"/>
                    </w:rPr>
                  </w:pPr>
                  <w:r>
                    <w:rPr>
                      <w:rFonts w:hint="eastAsia"/>
                      <w:b/>
                      <w:bCs/>
                      <w:sz w:val="21"/>
                      <w:szCs w:val="21"/>
                      <w:u w:val="single"/>
                    </w:rPr>
                    <w:t>按照“减量化、无害化、资源化”的原则，推进一般固体废物、废旧产品等资源化利用、协同利用；提升危险废物处理处置能力，坚决遏制危险废物非法转移、倾倒、处理处置。</w:t>
                  </w:r>
                </w:p>
              </w:tc>
              <w:tc>
                <w:tcPr>
                  <w:tcW w:w="751" w:type="pct"/>
                  <w:vAlign w:val="center"/>
                </w:tcPr>
                <w:p>
                  <w:pPr>
                    <w:adjustRightInd w:val="0"/>
                    <w:snapToGrid w:val="0"/>
                    <w:spacing w:line="240" w:lineRule="auto"/>
                    <w:ind w:firstLine="0" w:firstLineChars="0"/>
                    <w:rPr>
                      <w:b/>
                      <w:bCs/>
                      <w:sz w:val="21"/>
                      <w:szCs w:val="21"/>
                      <w:u w:val="single"/>
                    </w:rPr>
                  </w:pPr>
                  <w:r>
                    <w:rPr>
                      <w:rFonts w:hint="eastAsia"/>
                      <w:b/>
                      <w:bCs/>
                      <w:sz w:val="21"/>
                      <w:szCs w:val="21"/>
                      <w:u w:val="single"/>
                    </w:rPr>
                    <w:t>本项目生产过程中产生的边角料等一般固体废物经集中收集后外售；生产过程产生的危险废物经危废暂存间暂存后，交由有资质的单位处理。</w:t>
                  </w:r>
                </w:p>
              </w:tc>
              <w:tc>
                <w:tcPr>
                  <w:tcW w:w="612" w:type="pct"/>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符合</w:t>
                  </w:r>
                </w:p>
              </w:tc>
            </w:tr>
          </w:tbl>
          <w:p>
            <w:pPr>
              <w:ind w:firstLine="482"/>
              <w:rPr>
                <w:highlight w:val="yellow"/>
              </w:rPr>
            </w:pPr>
            <w:r>
              <w:rPr>
                <w:rFonts w:hint="eastAsia"/>
                <w:b/>
                <w:u w:val="single"/>
              </w:rPr>
              <w:t>由上表可知，本项目不属于《方案》中禁止建设的项目，符合《方案》相关要求</w:t>
            </w:r>
            <w:r>
              <w:rPr>
                <w:rFonts w:hint="eastAsia"/>
                <w:u w:val="singl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501" w:hRule="atLeast"/>
        </w:trPr>
        <w:tc>
          <w:tcPr>
            <w:tcW w:w="9199" w:type="dxa"/>
            <w:gridSpan w:val="13"/>
            <w:tcBorders>
              <w:bottom w:val="single" w:color="auto" w:sz="12" w:space="0"/>
            </w:tcBorders>
          </w:tcPr>
          <w:p>
            <w:pPr>
              <w:ind w:firstLine="0" w:firstLineChars="0"/>
              <w:rPr>
                <w:b/>
              </w:rPr>
            </w:pPr>
            <w:r>
              <w:rPr>
                <w:b/>
              </w:rPr>
              <w:t>与本项目有关的原有污染情况及主要环境问题</w:t>
            </w:r>
          </w:p>
          <w:p>
            <w:pPr>
              <w:ind w:firstLine="480"/>
              <w:jc w:val="both"/>
              <w:rPr>
                <w:highlight w:val="yellow"/>
              </w:rPr>
            </w:pPr>
            <w:r>
              <w:t>本项目属于新建项目，根据现场勘查，本地块目前现状为空厂房，</w:t>
            </w:r>
            <w:r>
              <w:rPr>
                <w:rFonts w:hint="eastAsia"/>
              </w:rPr>
              <w:t>不</w:t>
            </w:r>
            <w:r>
              <w:t>存在原有污染情况及环境问题。</w:t>
            </w:r>
          </w:p>
        </w:tc>
      </w:tr>
    </w:tbl>
    <w:p>
      <w:pPr>
        <w:pStyle w:val="8"/>
        <w:ind w:firstLine="0" w:firstLineChars="0"/>
        <w:rPr>
          <w:rFonts w:eastAsia="宋体"/>
          <w:b/>
          <w:sz w:val="30"/>
          <w:szCs w:val="30"/>
          <w:highlight w:val="yellow"/>
        </w:rPr>
        <w:sectPr>
          <w:headerReference r:id="rId5" w:type="first"/>
          <w:footerReference r:id="rId8" w:type="first"/>
          <w:headerReference r:id="rId3" w:type="default"/>
          <w:footerReference r:id="rId6" w:type="default"/>
          <w:headerReference r:id="rId4" w:type="even"/>
          <w:footerReference r:id="rId7" w:type="even"/>
          <w:pgSz w:w="11906" w:h="16838"/>
          <w:pgMar w:top="1701" w:right="1588" w:bottom="1985" w:left="1588" w:header="851" w:footer="992" w:gutter="0"/>
          <w:pgNumType w:start="1"/>
          <w:cols w:space="720" w:num="1"/>
          <w:docGrid w:type="linesAndChars" w:linePitch="312" w:charSpace="0"/>
        </w:sectPr>
      </w:pPr>
    </w:p>
    <w:p>
      <w:pPr>
        <w:spacing w:line="240" w:lineRule="auto"/>
        <w:ind w:left="-120" w:leftChars="-50" w:firstLine="0" w:firstLineChars="0"/>
        <w:rPr>
          <w:b/>
          <w:sz w:val="30"/>
          <w:szCs w:val="30"/>
        </w:rPr>
      </w:pPr>
      <w:r>
        <w:rPr>
          <w:rFonts w:hint="eastAsia"/>
          <w:b/>
          <w:sz w:val="30"/>
          <w:szCs w:val="30"/>
        </w:rPr>
        <w:t>建设项目所在地环境概况</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48" w:hRule="atLeast"/>
          <w:jc w:val="center"/>
        </w:trPr>
        <w:tc>
          <w:tcPr>
            <w:tcW w:w="5000" w:type="pct"/>
            <w:tcBorders>
              <w:top w:val="single" w:color="auto" w:sz="12" w:space="0"/>
              <w:bottom w:val="single" w:color="auto" w:sz="12" w:space="0"/>
            </w:tcBorders>
            <w:vAlign w:val="center"/>
          </w:tcPr>
          <w:p>
            <w:pPr>
              <w:ind w:firstLine="0" w:firstLineChars="0"/>
              <w:rPr>
                <w:b/>
                <w:sz w:val="28"/>
                <w:szCs w:val="28"/>
              </w:rPr>
            </w:pPr>
            <w:r>
              <w:rPr>
                <w:b/>
                <w:sz w:val="28"/>
                <w:szCs w:val="28"/>
              </w:rPr>
              <w:t>自然环境简况（地形、地貌、地质、气候、气象、水文、植被、生物多样性等）：</w:t>
            </w:r>
          </w:p>
          <w:p>
            <w:pPr>
              <w:ind w:firstLine="482"/>
              <w:rPr>
                <w:b/>
                <w:bCs/>
              </w:rPr>
            </w:pPr>
            <w:r>
              <w:rPr>
                <w:b/>
                <w:bCs/>
              </w:rPr>
              <w:t>1、地理位置</w:t>
            </w:r>
          </w:p>
          <w:p>
            <w:pPr>
              <w:wordWrap w:val="0"/>
              <w:ind w:firstLine="480"/>
            </w:pPr>
            <w:r>
              <w:t>封丘县，位于河南省东北部，</w:t>
            </w:r>
            <w:r>
              <w:fldChar w:fldCharType="begin"/>
            </w:r>
            <w:r>
              <w:instrText xml:space="preserve"> HYPERLINK "http://baike.baidu.com/view/36991.htm" \t "_blank" </w:instrText>
            </w:r>
            <w:r>
              <w:fldChar w:fldCharType="separate"/>
            </w:r>
            <w:r>
              <w:t>新乡市</w:t>
            </w:r>
            <w:r>
              <w:fldChar w:fldCharType="end"/>
            </w:r>
            <w:r>
              <w:t>东南隅，隶属于河南新乡。处于北纬34°53′~35°14′、东经114°14′~114°46′之间。县境南北长38.2公里，东西宽48.7公里。县境北和</w:t>
            </w:r>
            <w:r>
              <w:fldChar w:fldCharType="begin"/>
            </w:r>
            <w:r>
              <w:instrText xml:space="preserve"> HYPERLINK "http://baike.baidu.com/view/66594.htm" \t "_blank" </w:instrText>
            </w:r>
            <w:r>
              <w:fldChar w:fldCharType="separate"/>
            </w:r>
            <w:r>
              <w:t>滑县</w:t>
            </w:r>
            <w:r>
              <w:fldChar w:fldCharType="end"/>
            </w:r>
            <w:r>
              <w:t>相接，东北与</w:t>
            </w:r>
            <w:r>
              <w:fldChar w:fldCharType="begin"/>
            </w:r>
            <w:r>
              <w:instrText xml:space="preserve"> HYPERLINK "http://baike.baidu.com/view/141230.htm" \t "_blank" </w:instrText>
            </w:r>
            <w:r>
              <w:fldChar w:fldCharType="separate"/>
            </w:r>
            <w:r>
              <w:t>长垣县</w:t>
            </w:r>
            <w:r>
              <w:fldChar w:fldCharType="end"/>
            </w:r>
            <w:r>
              <w:t>毗邻，西和西南与</w:t>
            </w:r>
            <w:r>
              <w:fldChar w:fldCharType="begin"/>
            </w:r>
            <w:r>
              <w:instrText xml:space="preserve"> HYPERLINK "http://baike.baidu.com/view/58959.htm" \t "_blank" </w:instrText>
            </w:r>
            <w:r>
              <w:fldChar w:fldCharType="separate"/>
            </w:r>
            <w:r>
              <w:t>延津县</w:t>
            </w:r>
            <w:r>
              <w:fldChar w:fldCharType="end"/>
            </w:r>
            <w:r>
              <w:t>、</w:t>
            </w:r>
            <w:r>
              <w:fldChar w:fldCharType="begin"/>
            </w:r>
            <w:r>
              <w:instrText xml:space="preserve"> HYPERLINK "http://baike.baidu.com/view/141260.htm" \t "_blank" </w:instrText>
            </w:r>
            <w:r>
              <w:fldChar w:fldCharType="separate"/>
            </w:r>
            <w:r>
              <w:t>原阳县</w:t>
            </w:r>
            <w:r>
              <w:fldChar w:fldCharType="end"/>
            </w:r>
            <w:r>
              <w:t>接壤，南界、东界</w:t>
            </w:r>
            <w:r>
              <w:fldChar w:fldCharType="begin"/>
            </w:r>
            <w:r>
              <w:instrText xml:space="preserve"> HYPERLINK "http://baike.baidu.com/subview/4479/5224072.htm" \t "_blank" </w:instrText>
            </w:r>
            <w:r>
              <w:fldChar w:fldCharType="separate"/>
            </w:r>
            <w:r>
              <w:t>黄河</w:t>
            </w:r>
            <w:r>
              <w:fldChar w:fldCharType="end"/>
            </w:r>
            <w:r>
              <w:t>环绕，与</w:t>
            </w:r>
            <w:r>
              <w:fldChar w:fldCharType="begin"/>
            </w:r>
            <w:r>
              <w:instrText xml:space="preserve"> HYPERLINK "http://baike.baidu.com/view/55286.htm" \t "_blank" </w:instrText>
            </w:r>
            <w:r>
              <w:fldChar w:fldCharType="separate"/>
            </w:r>
            <w:r>
              <w:t>开封市</w:t>
            </w:r>
            <w:r>
              <w:fldChar w:fldCharType="end"/>
            </w:r>
            <w:r>
              <w:t>、</w:t>
            </w:r>
            <w:r>
              <w:fldChar w:fldCharType="begin"/>
            </w:r>
            <w:r>
              <w:instrText xml:space="preserve"> HYPERLINK "http://baike.baidu.com/view/140870.htm" \t "_blank" </w:instrText>
            </w:r>
            <w:r>
              <w:fldChar w:fldCharType="separate"/>
            </w:r>
            <w:r>
              <w:t>开封县</w:t>
            </w:r>
            <w:r>
              <w:fldChar w:fldCharType="end"/>
            </w:r>
            <w:r>
              <w:t>、</w:t>
            </w:r>
            <w:r>
              <w:fldChar w:fldCharType="begin"/>
            </w:r>
            <w:r>
              <w:instrText xml:space="preserve"> HYPERLINK "http://baike.baidu.com/view/83131.htm" \t "_blank" </w:instrText>
            </w:r>
            <w:r>
              <w:fldChar w:fldCharType="separate"/>
            </w:r>
            <w:r>
              <w:t>兰考县</w:t>
            </w:r>
            <w:r>
              <w:fldChar w:fldCharType="end"/>
            </w:r>
            <w:r>
              <w:t>隔河相望。面积1220.5平方公里，耕地面积92.6万亩。辖8镇11乡（其中1个回族乡），607个行政村。封丘县是国家级贫困开发重点县（2020年取消）、河南省定</w:t>
            </w:r>
            <w:r>
              <w:fldChar w:fldCharType="begin"/>
            </w:r>
            <w:r>
              <w:instrText xml:space="preserve"> HYPERLINK "http://baike.baidu.com/view/2160324.htm" \t "_blank" </w:instrText>
            </w:r>
            <w:r>
              <w:fldChar w:fldCharType="separate"/>
            </w:r>
            <w:r>
              <w:t>农业综合开发</w:t>
            </w:r>
            <w:r>
              <w:fldChar w:fldCharType="end"/>
            </w:r>
            <w:r>
              <w:t>重点县。</w:t>
            </w:r>
          </w:p>
          <w:p>
            <w:pPr>
              <w:wordWrap w:val="0"/>
              <w:ind w:firstLine="480"/>
              <w:rPr>
                <w:bCs/>
              </w:rPr>
            </w:pPr>
            <w:r>
              <w:rPr>
                <w:rFonts w:hint="eastAsia"/>
                <w:bCs/>
              </w:rPr>
              <w:t>本项目位于</w:t>
            </w:r>
            <w:r>
              <w:t>河南省新乡市封丘县留光镇农民创业园04号</w:t>
            </w:r>
            <w:r>
              <w:rPr>
                <w:rFonts w:hint="eastAsia"/>
              </w:rPr>
              <w:t>，中心点坐标为：1</w:t>
            </w:r>
            <w:r>
              <w:t>14.60273016903684</w:t>
            </w:r>
            <w:r>
              <w:rPr>
                <w:rFonts w:hint="eastAsia"/>
              </w:rPr>
              <w:t>，3</w:t>
            </w:r>
            <w:r>
              <w:t>5.08681308697881</w:t>
            </w:r>
            <w:r>
              <w:rPr>
                <w:rFonts w:hint="eastAsia"/>
              </w:rPr>
              <w:t>。具体地理位置见附图1。</w:t>
            </w:r>
          </w:p>
          <w:p>
            <w:pPr>
              <w:ind w:firstLine="482"/>
              <w:rPr>
                <w:b/>
                <w:bCs/>
              </w:rPr>
            </w:pPr>
            <w:r>
              <w:rPr>
                <w:b/>
                <w:bCs/>
              </w:rPr>
              <w:t>2、地形地貌</w:t>
            </w:r>
          </w:p>
          <w:p>
            <w:pPr>
              <w:ind w:firstLine="480"/>
            </w:pPr>
            <w:r>
              <w:t>封丘县地处黄河冲积扇形平原的北半部，海拔高度一般在65-72.5米之间，最高点高程为85米，最低点高程为64.6米，地势由西南向东北倾斜。境内的黄河大堤和太行堤将全县分为三部分，黄河大堤以东、以南是黄河河床和河滩地区，根据相对高差可分为三级：高滩高出河流常水位4米左右，海拔高度在75-82.5米；底滩高出河流常水位1-1.5米，海拔高度在70-80米；嫩滩高出河流常水位0.3-0.5米，海拔高度在69-78米。太行堤以北是古黄河背河决口泛滥影响地区，海拔高度在66-85.25米之间，地面起伏较小，坡度在1/2000-1/5000之间。黄河大堤和太行堤之间的地区，海拔高度在62-72.5米之间。</w:t>
            </w:r>
          </w:p>
          <w:p>
            <w:pPr>
              <w:ind w:firstLine="480"/>
            </w:pPr>
            <w:r>
              <w:t>封丘县地质构造古老而复杂，长期以来地壳的不断运动和变化，形成了境内地下矿藏资源。二十世纪六十年代以来，根据地质勘测，封丘县北和东部大部分地下是中原油田一部分，石油储量比较丰富。</w:t>
            </w:r>
          </w:p>
          <w:p>
            <w:pPr>
              <w:ind w:firstLine="480"/>
            </w:pPr>
            <w:r>
              <w:t>本项目所在地属平原地带，地势平坦。</w:t>
            </w:r>
          </w:p>
          <w:p>
            <w:pPr>
              <w:ind w:firstLine="482"/>
              <w:rPr>
                <w:b/>
                <w:bCs/>
              </w:rPr>
            </w:pPr>
            <w:r>
              <w:rPr>
                <w:b/>
                <w:bCs/>
              </w:rPr>
              <w:t>3、气候气象</w:t>
            </w:r>
          </w:p>
          <w:p>
            <w:pPr>
              <w:ind w:firstLine="480"/>
            </w:pPr>
            <w:r>
              <w:t>封丘县属暖温带大陆性季风气候。年平均气温13.5°C-14.5°C之间，年降水量615.1毫米，无霜期214天。1月平均气温-1.0℃。7月份平均气温27.2℃。年平均气温13.9℃。年平均降水量615.1毫米。无霜期214天。年平均地温16.0℃。其月际间变化特征是1月最低，平均-0.4℃，7月最高，平均30.4℃。极端最高地温49.0℃（2002年7月2日），极端最低地温-23.0℃（1990年1月31日）。月际间变化规律与气温一致，气温年际变化不大。</w:t>
            </w:r>
          </w:p>
          <w:p>
            <w:pPr>
              <w:ind w:firstLine="482"/>
              <w:rPr>
                <w:b/>
                <w:bCs/>
              </w:rPr>
            </w:pPr>
            <w:r>
              <w:rPr>
                <w:b/>
                <w:bCs/>
              </w:rPr>
              <w:t>4、水文</w:t>
            </w:r>
          </w:p>
          <w:p>
            <w:pPr>
              <w:ind w:firstLine="480"/>
              <w:rPr>
                <w:bCs/>
              </w:rPr>
            </w:pPr>
            <w:r>
              <w:rPr>
                <w:bCs/>
              </w:rPr>
              <w:t>黄河从县南和县东流过，境内流长56公里。最枯水位与堤背地面高低达3米左右，引黄灌溉非常便利。过</w:t>
            </w:r>
            <w:r>
              <w:t>境渠有</w:t>
            </w:r>
            <w:r>
              <w:fldChar w:fldCharType="begin"/>
            </w:r>
            <w:r>
              <w:instrText xml:space="preserve"> HYPERLINK "http://baike.baidu.com/view/8057191.htm" \t "_blank" </w:instrText>
            </w:r>
            <w:r>
              <w:fldChar w:fldCharType="separate"/>
            </w:r>
            <w:r>
              <w:t>文岩渠</w:t>
            </w:r>
            <w:r>
              <w:fldChar w:fldCharType="end"/>
            </w:r>
            <w:r>
              <w:t>、</w:t>
            </w:r>
            <w:r>
              <w:fldChar w:fldCharType="begin"/>
            </w:r>
            <w:r>
              <w:instrText xml:space="preserve"> HYPERLINK "http://baike.baidu.com/view/14975746.htm" \t "_blank" </w:instrText>
            </w:r>
            <w:r>
              <w:fldChar w:fldCharType="separate"/>
            </w:r>
            <w:r>
              <w:t>文岩渠</w:t>
            </w:r>
            <w:r>
              <w:fldChar w:fldCharType="end"/>
            </w:r>
            <w:r>
              <w:t>，两渠水资</w:t>
            </w:r>
            <w:r>
              <w:rPr>
                <w:bCs/>
              </w:rPr>
              <w:t>源每年平均1.13亿立方米。文岩渠在封丘境内有众多支流，主要有文岩九支、文岩十支、文岩故道等。</w:t>
            </w:r>
          </w:p>
          <w:p>
            <w:pPr>
              <w:ind w:firstLine="480"/>
              <w:rPr>
                <w:bCs/>
              </w:rPr>
            </w:pPr>
            <w:r>
              <w:rPr>
                <w:bCs/>
              </w:rPr>
              <w:t>文岩渠该渠发源地为焦作市武陟县张菜园村，分南北两支，南支为天然渠，北支为文岩渠，流径新乡市境内的原阳县、延津县、封丘县至长垣县大车集汇合后称为天然文岩渠，全长96公里，有支流10条，流域面积739平方公里，除涝水深2.6米，河底宽16米，河底纵坡1/6000，主河槽内边坡1:3，堤顶宽4米，边坡1:3。天然文岩渠下游傍依黄河大堤，水面清澈广阔，翠柳依依是黄河生态旅游的靓点。</w:t>
            </w:r>
          </w:p>
          <w:p>
            <w:pPr>
              <w:ind w:firstLine="480"/>
              <w:rPr>
                <w:bCs/>
              </w:rPr>
            </w:pPr>
            <w:r>
              <w:rPr>
                <w:bCs/>
              </w:rPr>
              <w:t>距离厂址所在地最近的地表水体为</w:t>
            </w:r>
            <w:r>
              <w:rPr>
                <w:rFonts w:hint="eastAsia"/>
                <w:bCs/>
              </w:rPr>
              <w:t>文岩十一支渠</w:t>
            </w:r>
            <w:r>
              <w:rPr>
                <w:bCs/>
              </w:rPr>
              <w:t>，位于项目厂界北侧</w:t>
            </w:r>
            <w:r>
              <w:rPr>
                <w:rFonts w:hint="eastAsia"/>
                <w:bCs/>
              </w:rPr>
              <w:t>1.9km</w:t>
            </w:r>
            <w:r>
              <w:rPr>
                <w:bCs/>
              </w:rPr>
              <w:t>处。</w:t>
            </w:r>
          </w:p>
          <w:p>
            <w:pPr>
              <w:ind w:firstLine="482"/>
              <w:rPr>
                <w:b/>
                <w:bCs/>
              </w:rPr>
            </w:pPr>
            <w:r>
              <w:rPr>
                <w:b/>
                <w:bCs/>
              </w:rPr>
              <w:t>5、土壤</w:t>
            </w:r>
          </w:p>
          <w:p>
            <w:pPr>
              <w:ind w:firstLine="480"/>
            </w:pPr>
            <w:r>
              <w:t>封丘县境地质构造，属于中朝准地台华北拗陷，处于华北拗陷次一级构造单元内黄凸起。东明断陷济源—开封凹陷的复活部位。新生界深度达3000-5000m。地层层序分以下部分，顺序由老到新，由下而上。封丘县土壤，母质均属第四纪全新统地层。其来源为西北黄土高原的黄土，结构疏松，富含碳酸钙，呈中性至微碱性。根据地质部门提供的资料，该区工程地质条件较好，地壳总体稳定性好，土地允许承载力为15-20t/m</w:t>
            </w:r>
            <w:r>
              <w:rPr>
                <w:vertAlign w:val="superscript"/>
              </w:rPr>
              <w:t>2</w:t>
            </w:r>
            <w:r>
              <w:t>，项目所在地未有重大断层。</w:t>
            </w:r>
          </w:p>
          <w:p>
            <w:pPr>
              <w:ind w:firstLine="482"/>
              <w:rPr>
                <w:b/>
                <w:bCs/>
              </w:rPr>
            </w:pPr>
            <w:r>
              <w:rPr>
                <w:b/>
                <w:bCs/>
              </w:rPr>
              <w:t>6、动植物</w:t>
            </w:r>
          </w:p>
          <w:p>
            <w:pPr>
              <w:ind w:firstLine="480"/>
            </w:pPr>
            <w:r>
              <w:t>封丘县地处平原，农业种植有得天独厚的优势，是全国100个商品粮生产县之一。盛产作物有小麦、大米、玉米、大豆、谷子、绿豆、棉花、花生、油菜、芝麻等。金银花是全国生产基地，芹菜、香菇、石榴、金银花享誉全国。全县农业种植结构合理，农、林、牧、副、渔同盟协调发展。</w:t>
            </w:r>
          </w:p>
          <w:p>
            <w:pPr>
              <w:ind w:firstLine="480"/>
            </w:pPr>
            <w:r>
              <w:t>项目周边500m范围内尚未发现列入《国家重点保护野生植物名录》和《国家重点保护野生动物名录》的动植物。</w:t>
            </w:r>
          </w:p>
          <w:p>
            <w:pPr>
              <w:ind w:firstLine="482"/>
              <w:rPr>
                <w:b/>
                <w:bCs/>
              </w:rPr>
            </w:pPr>
            <w:r>
              <w:rPr>
                <w:b/>
                <w:bCs/>
              </w:rPr>
              <w:t>7</w:t>
            </w:r>
            <w:r>
              <w:rPr>
                <w:rFonts w:hint="eastAsia"/>
                <w:b/>
                <w:bCs/>
              </w:rPr>
              <w:t>、矿产资源</w:t>
            </w:r>
          </w:p>
          <w:p>
            <w:pPr>
              <w:ind w:firstLine="480"/>
            </w:pPr>
            <w:r>
              <w:t>项目所在地形成的矿产可分为9大类28种：能源矿产有煤、泥炭、地热、石油、天然气；黑色金属矿产有铁矿；有色金属矿产有铜、铅、锌矿；贵金属矿产有金矿；化工原料矿产有重晶石、磷、化工用灰岩；冶金辅助原料矿产有白云岩、耐火粘土、石英岩（硅石）；建筑材料矿产有水泥用灰岩、水泥配料用粘土、饰面花岗岩、饰面大理岩、建筑石料、建筑用砂、砖瓦用粘土；特种非金属原料矿产有水晶、冰洲石以及地下水、矿泉水等。其中煤、水泥用灰岩、饰面花岗岩、地下水、矿泉水是本市的优势矿产。</w:t>
            </w:r>
          </w:p>
          <w:p>
            <w:pPr>
              <w:ind w:firstLine="482"/>
              <w:rPr>
                <w:b/>
                <w:bCs/>
              </w:rPr>
            </w:pPr>
            <w:r>
              <w:rPr>
                <w:rFonts w:hint="eastAsia"/>
                <w:b/>
                <w:bCs/>
              </w:rPr>
              <w:t>8、</w:t>
            </w:r>
            <w:r>
              <w:rPr>
                <w:b/>
                <w:bCs/>
              </w:rPr>
              <w:t>风景名胜区</w:t>
            </w:r>
          </w:p>
          <w:p>
            <w:pPr>
              <w:ind w:firstLine="480"/>
            </w:pPr>
            <w:r>
              <w:t>封丘县西部、南部、东部沿黄地区全部为黄河湿地鸟类自然保护区范围，面积14280.00公顷，涉及陈桥镇等5个乡（镇）65个行政村。主要划分为以下三个层次：</w:t>
            </w:r>
            <w:r>
              <w:br w:type="textWrapping"/>
            </w:r>
            <w:r>
              <w:t xml:space="preserve">    1、核心区。中部核心区位于丁庄—樊庄—杨寨—陈桥以南约2-3公里、黄河中流线以北，东部核心区位于尹岗乡的碾庄—禅房—店集以东约1公里。核心区总面积4727.00公顷，占总面积的33.1%。</w:t>
            </w:r>
            <w:r>
              <w:br w:type="textWrapping"/>
            </w:r>
            <w:r>
              <w:t xml:space="preserve">    2、缓冲区。西部缓冲区位于顺河街—荆隆宫—杨寨以南的大堤内，南部缓冲区位于尹岗乡的清河集—姚庄—贯台集以南、碾庄—禅房—店集以东的黄河大堤内。缓冲区总面积7318.00公顷，占总面积的51.2%。</w:t>
            </w:r>
            <w:r>
              <w:br w:type="textWrapping"/>
            </w:r>
            <w:r>
              <w:t xml:space="preserve">    3、实验区。位于南片区的中北部，陈桥镇—马坊—张寨一线黄河大堤外侧，包括姚务至西柳园之间的青龙湖一带和新建黄河大桥中心线西侧500米至黄河开封大桥东侧500米范围内。面积2235.00公顷，占总面积的15.7%。</w:t>
            </w:r>
          </w:p>
          <w:p>
            <w:pPr>
              <w:ind w:firstLine="480"/>
            </w:pPr>
            <w:r>
              <w:t>经调查，项目距离黄河故道湿地鸟类保护区最近距离为15km，项目周围未发现珍稀及濒危动植物物种，无风景名胜区、重点文物保护单位、历史文化保护地等环境敏感点。</w:t>
            </w:r>
          </w:p>
          <w:p>
            <w:pPr>
              <w:pStyle w:val="2"/>
              <w:ind w:firstLine="643"/>
              <w:rPr>
                <w:highlight w:val="yellow"/>
              </w:rPr>
            </w:pPr>
          </w:p>
        </w:tc>
      </w:tr>
    </w:tbl>
    <w:p>
      <w:pPr>
        <w:pStyle w:val="8"/>
        <w:ind w:firstLine="0" w:firstLineChars="0"/>
        <w:rPr>
          <w:rFonts w:eastAsia="宋体"/>
          <w:b/>
          <w:sz w:val="30"/>
          <w:szCs w:val="30"/>
          <w:highlight w:val="yellow"/>
        </w:rPr>
        <w:sectPr>
          <w:pgSz w:w="11906" w:h="16838"/>
          <w:pgMar w:top="1701" w:right="1588" w:bottom="1985" w:left="1588" w:header="851" w:footer="992" w:gutter="0"/>
          <w:cols w:space="720" w:num="1"/>
          <w:docGrid w:type="linesAndChars" w:linePitch="312" w:charSpace="0"/>
        </w:sectPr>
      </w:pPr>
    </w:p>
    <w:p>
      <w:pPr>
        <w:spacing w:line="240" w:lineRule="auto"/>
        <w:ind w:left="-120" w:leftChars="-50" w:firstLine="0" w:firstLineChars="0"/>
        <w:rPr>
          <w:b/>
          <w:sz w:val="30"/>
          <w:szCs w:val="30"/>
        </w:rPr>
      </w:pPr>
      <w:r>
        <w:rPr>
          <w:rFonts w:hint="eastAsia"/>
          <w:b/>
          <w:sz w:val="30"/>
          <w:szCs w:val="30"/>
        </w:rPr>
        <w:t>环境质量状况</w:t>
      </w:r>
    </w:p>
    <w:tbl>
      <w:tblPr>
        <w:tblStyle w:val="20"/>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2"/>
        <w:gridCol w:w="8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7" w:hRule="atLeast"/>
        </w:trPr>
        <w:tc>
          <w:tcPr>
            <w:tcW w:w="8946" w:type="dxa"/>
            <w:gridSpan w:val="2"/>
            <w:tcBorders>
              <w:top w:val="single" w:color="auto" w:sz="12" w:space="0"/>
              <w:bottom w:val="single" w:color="auto" w:sz="12" w:space="0"/>
            </w:tcBorders>
          </w:tcPr>
          <w:p>
            <w:pPr>
              <w:spacing w:line="360" w:lineRule="auto"/>
              <w:ind w:firstLine="0" w:firstLineChars="0"/>
              <w:rPr>
                <w:b/>
                <w:bCs/>
                <w:sz w:val="28"/>
              </w:rPr>
            </w:pPr>
            <w:r>
              <w:rPr>
                <w:b/>
                <w:bCs/>
                <w:sz w:val="28"/>
              </w:rPr>
              <w:t>建设项目所在区域环境质量现状及主要环境问题（环境空气、地面水、地下水、声环境、生态环境等）</w:t>
            </w:r>
          </w:p>
          <w:p>
            <w:pPr>
              <w:ind w:firstLine="0" w:firstLineChars="0"/>
              <w:jc w:val="both"/>
              <w:outlineLvl w:val="0"/>
              <w:rPr>
                <w:b/>
                <w:bCs/>
              </w:rPr>
            </w:pPr>
            <w:r>
              <w:rPr>
                <w:b/>
                <w:bCs/>
              </w:rPr>
              <w:t>1</w:t>
            </w:r>
            <w:r>
              <w:rPr>
                <w:rFonts w:hint="eastAsia"/>
                <w:b/>
                <w:bCs/>
              </w:rPr>
              <w:t>、</w:t>
            </w:r>
            <w:r>
              <w:rPr>
                <w:b/>
                <w:bCs/>
              </w:rPr>
              <w:t>环境空气</w:t>
            </w:r>
          </w:p>
          <w:p>
            <w:pPr>
              <w:ind w:firstLine="480"/>
            </w:pPr>
            <w:r>
              <w:rPr>
                <w:rFonts w:hint="eastAsia" w:cs="宋体"/>
                <w:lang w:bidi="ar"/>
              </w:rPr>
              <w:t>项目所在地属于环境空气二类功能区，环境空气质量应执行《环境空气质量标准》（</w:t>
            </w:r>
            <w:r>
              <w:rPr>
                <w:lang w:bidi="ar"/>
              </w:rPr>
              <w:t>GB3095-2012</w:t>
            </w:r>
            <w:r>
              <w:rPr>
                <w:rFonts w:hint="eastAsia" w:cs="宋体"/>
                <w:lang w:bidi="ar"/>
              </w:rPr>
              <w:t>）二级标准。根据新乡市生态环境局发布的《新乡市</w:t>
            </w:r>
            <w:r>
              <w:rPr>
                <w:lang w:bidi="ar"/>
              </w:rPr>
              <w:t>2018</w:t>
            </w:r>
            <w:r>
              <w:rPr>
                <w:rFonts w:hint="eastAsia" w:cs="宋体"/>
                <w:lang w:bidi="ar"/>
              </w:rPr>
              <w:t>年环境质量年报》，区域空气质量现状数据详见下表。</w:t>
            </w:r>
          </w:p>
          <w:p>
            <w:pPr>
              <w:pStyle w:val="7"/>
              <w:rPr>
                <w:b/>
                <w:bCs/>
              </w:rPr>
            </w:pPr>
            <w:r>
              <w:rPr>
                <w:rFonts w:hint="eastAsia"/>
                <w:b/>
                <w:bCs/>
              </w:rPr>
              <w:t xml:space="preserve">   区域空气质量现状评价表</w:t>
            </w:r>
          </w:p>
          <w:tbl>
            <w:tblPr>
              <w:tblStyle w:val="20"/>
              <w:tblW w:w="0" w:type="auto"/>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autofit"/>
              <w:tblCellMar>
                <w:top w:w="57" w:type="dxa"/>
                <w:left w:w="108" w:type="dxa"/>
                <w:bottom w:w="57" w:type="dxa"/>
                <w:right w:w="108" w:type="dxa"/>
              </w:tblCellMar>
            </w:tblPr>
            <w:tblGrid>
              <w:gridCol w:w="912"/>
              <w:gridCol w:w="1800"/>
              <w:gridCol w:w="1500"/>
              <w:gridCol w:w="1500"/>
              <w:gridCol w:w="1500"/>
              <w:gridCol w:w="1503"/>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349" w:hRule="atLeast"/>
                <w:jc w:val="center"/>
              </w:trPr>
              <w:tc>
                <w:tcPr>
                  <w:tcW w:w="912" w:type="dxa"/>
                  <w:tcBorders>
                    <w:top w:val="single" w:color="auto" w:sz="12" w:space="0"/>
                    <w:left w:val="nil"/>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污染物</w:t>
                  </w:r>
                </w:p>
              </w:tc>
              <w:tc>
                <w:tcPr>
                  <w:tcW w:w="1800" w:type="dxa"/>
                  <w:tcBorders>
                    <w:top w:val="single" w:color="auto" w:sz="12"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年评价指标</w:t>
                  </w:r>
                </w:p>
              </w:tc>
              <w:tc>
                <w:tcPr>
                  <w:tcW w:w="1500" w:type="dxa"/>
                  <w:tcBorders>
                    <w:top w:val="single" w:color="auto" w:sz="12"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现状浓度</w:t>
                  </w:r>
                  <w:r>
                    <w:rPr>
                      <w:rFonts w:ascii="Times New Roman" w:hAnsi="Times New Roman"/>
                      <w:color w:val="auto"/>
                    </w:rPr>
                    <w:t>/</w:t>
                  </w:r>
                  <w:r>
                    <w:rPr>
                      <w:rFonts w:hint="eastAsia" w:ascii="Times New Roman" w:hAnsi="Times New Roman" w:cs="宋体"/>
                      <w:color w:val="auto"/>
                    </w:rPr>
                    <w:t>（</w:t>
                  </w:r>
                  <w:r>
                    <w:rPr>
                      <w:rFonts w:ascii="Times New Roman" w:hAnsi="Times New Roman"/>
                      <w:color w:val="auto"/>
                    </w:rPr>
                    <w:t>μg/m</w:t>
                  </w:r>
                  <w:r>
                    <w:rPr>
                      <w:rFonts w:ascii="Times New Roman" w:hAnsi="Times New Roman"/>
                      <w:color w:val="auto"/>
                      <w:vertAlign w:val="superscript"/>
                    </w:rPr>
                    <w:t>3</w:t>
                  </w:r>
                  <w:r>
                    <w:rPr>
                      <w:rFonts w:hint="eastAsia" w:ascii="Times New Roman" w:hAnsi="Times New Roman" w:cs="宋体"/>
                      <w:color w:val="auto"/>
                    </w:rPr>
                    <w:t>）</w:t>
                  </w:r>
                </w:p>
              </w:tc>
              <w:tc>
                <w:tcPr>
                  <w:tcW w:w="1500" w:type="dxa"/>
                  <w:tcBorders>
                    <w:top w:val="single" w:color="auto" w:sz="12"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标准值</w:t>
                  </w:r>
                  <w:r>
                    <w:rPr>
                      <w:rFonts w:ascii="Times New Roman" w:hAnsi="Times New Roman"/>
                      <w:color w:val="auto"/>
                    </w:rPr>
                    <w:t>/</w:t>
                  </w:r>
                  <w:r>
                    <w:rPr>
                      <w:rFonts w:hint="eastAsia" w:ascii="Times New Roman" w:hAnsi="Times New Roman" w:cs="宋体"/>
                      <w:color w:val="auto"/>
                    </w:rPr>
                    <w:t>（</w:t>
                  </w:r>
                  <w:r>
                    <w:rPr>
                      <w:rFonts w:ascii="Times New Roman" w:hAnsi="Times New Roman"/>
                      <w:color w:val="auto"/>
                    </w:rPr>
                    <w:t>μg/m</w:t>
                  </w:r>
                  <w:r>
                    <w:rPr>
                      <w:rFonts w:ascii="Times New Roman" w:hAnsi="Times New Roman"/>
                      <w:color w:val="auto"/>
                      <w:vertAlign w:val="superscript"/>
                    </w:rPr>
                    <w:t>3</w:t>
                  </w:r>
                  <w:r>
                    <w:rPr>
                      <w:rFonts w:hint="eastAsia" w:ascii="Times New Roman" w:hAnsi="Times New Roman" w:cs="宋体"/>
                      <w:color w:val="auto"/>
                    </w:rPr>
                    <w:t>）</w:t>
                  </w:r>
                </w:p>
              </w:tc>
              <w:tc>
                <w:tcPr>
                  <w:tcW w:w="1500" w:type="dxa"/>
                  <w:tcBorders>
                    <w:top w:val="single" w:color="auto" w:sz="12"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占标率</w:t>
                  </w:r>
                  <w:r>
                    <w:rPr>
                      <w:rFonts w:ascii="Times New Roman" w:hAnsi="Times New Roman"/>
                      <w:color w:val="auto"/>
                    </w:rPr>
                    <w:t>/%</w:t>
                  </w:r>
                </w:p>
              </w:tc>
              <w:tc>
                <w:tcPr>
                  <w:tcW w:w="1503" w:type="dxa"/>
                  <w:tcBorders>
                    <w:top w:val="single" w:color="auto" w:sz="12" w:space="0"/>
                    <w:left w:val="single" w:color="auto" w:sz="4" w:space="0"/>
                    <w:bottom w:val="single" w:color="auto" w:sz="4"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达标情况</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183" w:hRule="atLeast"/>
                <w:jc w:val="center"/>
              </w:trPr>
              <w:tc>
                <w:tcPr>
                  <w:tcW w:w="912" w:type="dxa"/>
                  <w:tcBorders>
                    <w:top w:val="single" w:color="auto" w:sz="4" w:space="0"/>
                    <w:left w:val="nil"/>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PM</w:t>
                  </w:r>
                  <w:r>
                    <w:rPr>
                      <w:rFonts w:ascii="Times New Roman" w:hAnsi="Times New Roman"/>
                      <w:color w:val="auto"/>
                      <w:vertAlign w:val="subscript"/>
                    </w:rPr>
                    <w:t>10</w:t>
                  </w:r>
                </w:p>
              </w:tc>
              <w:tc>
                <w:tcPr>
                  <w:tcW w:w="18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年平均质量浓度</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105</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70</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150</w:t>
                  </w:r>
                </w:p>
              </w:tc>
              <w:tc>
                <w:tcPr>
                  <w:tcW w:w="1503" w:type="dxa"/>
                  <w:tcBorders>
                    <w:top w:val="single" w:color="auto" w:sz="4" w:space="0"/>
                    <w:left w:val="single" w:color="auto" w:sz="4" w:space="0"/>
                    <w:bottom w:val="single" w:color="auto" w:sz="4"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超标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912" w:type="dxa"/>
                  <w:tcBorders>
                    <w:top w:val="single" w:color="auto" w:sz="4" w:space="0"/>
                    <w:left w:val="nil"/>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PM</w:t>
                  </w:r>
                  <w:r>
                    <w:rPr>
                      <w:rFonts w:ascii="Times New Roman" w:hAnsi="Times New Roman"/>
                      <w:color w:val="auto"/>
                      <w:vertAlign w:val="subscript"/>
                    </w:rPr>
                    <w:t>2.5</w:t>
                  </w:r>
                </w:p>
              </w:tc>
              <w:tc>
                <w:tcPr>
                  <w:tcW w:w="18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年平均质量浓度</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61</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35</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174.3</w:t>
                  </w:r>
                </w:p>
              </w:tc>
              <w:tc>
                <w:tcPr>
                  <w:tcW w:w="1503" w:type="dxa"/>
                  <w:tcBorders>
                    <w:top w:val="single" w:color="auto" w:sz="4" w:space="0"/>
                    <w:left w:val="single" w:color="auto" w:sz="4" w:space="0"/>
                    <w:bottom w:val="single" w:color="auto" w:sz="4"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超标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912" w:type="dxa"/>
                  <w:tcBorders>
                    <w:top w:val="single" w:color="auto" w:sz="4" w:space="0"/>
                    <w:left w:val="nil"/>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SO</w:t>
                  </w:r>
                  <w:r>
                    <w:rPr>
                      <w:rFonts w:ascii="Times New Roman" w:hAnsi="Times New Roman"/>
                      <w:color w:val="auto"/>
                      <w:vertAlign w:val="subscript"/>
                    </w:rPr>
                    <w:t>2</w:t>
                  </w:r>
                </w:p>
              </w:tc>
              <w:tc>
                <w:tcPr>
                  <w:tcW w:w="18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年平均质量浓度</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19</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60</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31.7</w:t>
                  </w:r>
                </w:p>
              </w:tc>
              <w:tc>
                <w:tcPr>
                  <w:tcW w:w="1503" w:type="dxa"/>
                  <w:tcBorders>
                    <w:top w:val="single" w:color="auto" w:sz="4" w:space="0"/>
                    <w:left w:val="single" w:color="auto" w:sz="4" w:space="0"/>
                    <w:bottom w:val="single" w:color="auto" w:sz="4"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912" w:type="dxa"/>
                  <w:tcBorders>
                    <w:top w:val="single" w:color="auto" w:sz="4" w:space="0"/>
                    <w:left w:val="nil"/>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NO</w:t>
                  </w:r>
                  <w:r>
                    <w:rPr>
                      <w:rFonts w:ascii="Times New Roman" w:hAnsi="Times New Roman"/>
                      <w:color w:val="auto"/>
                      <w:vertAlign w:val="subscript"/>
                    </w:rPr>
                    <w:t>2</w:t>
                  </w:r>
                </w:p>
              </w:tc>
              <w:tc>
                <w:tcPr>
                  <w:tcW w:w="18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年平均质量浓度</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49</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40</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122.5</w:t>
                  </w:r>
                </w:p>
              </w:tc>
              <w:tc>
                <w:tcPr>
                  <w:tcW w:w="1503" w:type="dxa"/>
                  <w:tcBorders>
                    <w:top w:val="single" w:color="auto" w:sz="4" w:space="0"/>
                    <w:left w:val="single" w:color="auto" w:sz="4" w:space="0"/>
                    <w:bottom w:val="single" w:color="auto" w:sz="4"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超标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912" w:type="dxa"/>
                  <w:tcBorders>
                    <w:top w:val="single" w:color="auto" w:sz="4" w:space="0"/>
                    <w:left w:val="nil"/>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CO</w:t>
                  </w:r>
                </w:p>
              </w:tc>
              <w:tc>
                <w:tcPr>
                  <w:tcW w:w="18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第</w:t>
                  </w:r>
                  <w:r>
                    <w:rPr>
                      <w:rFonts w:ascii="Times New Roman" w:hAnsi="Times New Roman"/>
                      <w:color w:val="auto"/>
                    </w:rPr>
                    <w:t>95</w:t>
                  </w:r>
                  <w:r>
                    <w:rPr>
                      <w:rFonts w:hint="eastAsia" w:ascii="Times New Roman" w:hAnsi="Times New Roman" w:cs="宋体"/>
                      <w:color w:val="auto"/>
                    </w:rPr>
                    <w:t>百分位浓度</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2.3mg/m</w:t>
                  </w:r>
                  <w:r>
                    <w:rPr>
                      <w:rFonts w:ascii="Times New Roman" w:hAnsi="Times New Roman"/>
                      <w:color w:val="auto"/>
                      <w:vertAlign w:val="superscript"/>
                    </w:rPr>
                    <w:t>3</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4mg/m</w:t>
                  </w:r>
                  <w:r>
                    <w:rPr>
                      <w:rFonts w:ascii="Times New Roman" w:hAnsi="Times New Roman"/>
                      <w:color w:val="auto"/>
                      <w:vertAlign w:val="superscript"/>
                    </w:rPr>
                    <w:t>3</w:t>
                  </w:r>
                </w:p>
              </w:tc>
              <w:tc>
                <w:tcPr>
                  <w:tcW w:w="1500" w:type="dxa"/>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57.5</w:t>
                  </w:r>
                </w:p>
              </w:tc>
              <w:tc>
                <w:tcPr>
                  <w:tcW w:w="1503" w:type="dxa"/>
                  <w:tcBorders>
                    <w:top w:val="single" w:color="auto" w:sz="4" w:space="0"/>
                    <w:left w:val="single" w:color="auto" w:sz="4" w:space="0"/>
                    <w:bottom w:val="single" w:color="auto" w:sz="4"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912" w:type="dxa"/>
                  <w:tcBorders>
                    <w:top w:val="single" w:color="auto" w:sz="4" w:space="0"/>
                    <w:left w:val="nil"/>
                    <w:bottom w:val="single" w:color="auto" w:sz="12"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O</w:t>
                  </w:r>
                  <w:r>
                    <w:rPr>
                      <w:rFonts w:ascii="Times New Roman" w:hAnsi="Times New Roman"/>
                      <w:color w:val="auto"/>
                      <w:vertAlign w:val="subscript"/>
                    </w:rPr>
                    <w:t>3</w:t>
                  </w:r>
                </w:p>
              </w:tc>
              <w:tc>
                <w:tcPr>
                  <w:tcW w:w="1800" w:type="dxa"/>
                  <w:tcBorders>
                    <w:top w:val="single" w:color="auto" w:sz="4" w:space="0"/>
                    <w:left w:val="single" w:color="auto" w:sz="4" w:space="0"/>
                    <w:bottom w:val="single" w:color="auto" w:sz="12"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第</w:t>
                  </w:r>
                  <w:r>
                    <w:rPr>
                      <w:rFonts w:ascii="Times New Roman" w:hAnsi="Times New Roman"/>
                      <w:color w:val="auto"/>
                    </w:rPr>
                    <w:t>90</w:t>
                  </w:r>
                  <w:r>
                    <w:rPr>
                      <w:rFonts w:hint="eastAsia" w:ascii="Times New Roman" w:hAnsi="Times New Roman" w:cs="宋体"/>
                      <w:color w:val="auto"/>
                    </w:rPr>
                    <w:t>百分位浓度</w:t>
                  </w:r>
                </w:p>
              </w:tc>
              <w:tc>
                <w:tcPr>
                  <w:tcW w:w="1500" w:type="dxa"/>
                  <w:tcBorders>
                    <w:top w:val="single" w:color="auto" w:sz="4" w:space="0"/>
                    <w:left w:val="single" w:color="auto" w:sz="4" w:space="0"/>
                    <w:bottom w:val="single" w:color="auto" w:sz="12"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202</w:t>
                  </w:r>
                </w:p>
              </w:tc>
              <w:tc>
                <w:tcPr>
                  <w:tcW w:w="1500" w:type="dxa"/>
                  <w:tcBorders>
                    <w:top w:val="single" w:color="auto" w:sz="4" w:space="0"/>
                    <w:left w:val="single" w:color="auto" w:sz="4" w:space="0"/>
                    <w:bottom w:val="single" w:color="auto" w:sz="12"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160</w:t>
                  </w:r>
                </w:p>
              </w:tc>
              <w:tc>
                <w:tcPr>
                  <w:tcW w:w="1500" w:type="dxa"/>
                  <w:tcBorders>
                    <w:top w:val="single" w:color="auto" w:sz="4" w:space="0"/>
                    <w:left w:val="single" w:color="auto" w:sz="4" w:space="0"/>
                    <w:bottom w:val="single" w:color="auto" w:sz="12" w:space="0"/>
                    <w:right w:val="single" w:color="auto" w:sz="4" w:space="0"/>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ascii="Times New Roman" w:hAnsi="Times New Roman"/>
                      <w:color w:val="auto"/>
                    </w:rPr>
                    <w:t>126.3</w:t>
                  </w:r>
                </w:p>
              </w:tc>
              <w:tc>
                <w:tcPr>
                  <w:tcW w:w="1503" w:type="dxa"/>
                  <w:tcBorders>
                    <w:top w:val="single" w:color="auto" w:sz="4" w:space="0"/>
                    <w:left w:val="single" w:color="auto" w:sz="4" w:space="0"/>
                    <w:bottom w:val="single" w:color="auto" w:sz="12" w:space="0"/>
                    <w:right w:val="nil"/>
                  </w:tcBorders>
                  <w:shd w:val="clear" w:color="auto" w:fill="auto"/>
                  <w:tcMar>
                    <w:left w:w="85" w:type="dxa"/>
                    <w:right w:w="85" w:type="dxa"/>
                  </w:tcMar>
                  <w:vAlign w:val="center"/>
                </w:tcPr>
                <w:p>
                  <w:pPr>
                    <w:pStyle w:val="42"/>
                    <w:widowControl/>
                    <w:adjustRightInd/>
                    <w:snapToGrid/>
                    <w:spacing w:line="240" w:lineRule="auto"/>
                    <w:ind w:firstLine="0" w:firstLineChars="0"/>
                    <w:rPr>
                      <w:rFonts w:ascii="Times New Roman" w:hAnsi="Times New Roman"/>
                      <w:color w:val="auto"/>
                    </w:rPr>
                  </w:pPr>
                  <w:r>
                    <w:rPr>
                      <w:rFonts w:hint="eastAsia" w:ascii="Times New Roman" w:hAnsi="Times New Roman" w:cs="宋体"/>
                      <w:color w:val="auto"/>
                    </w:rPr>
                    <w:t>超标</w:t>
                  </w:r>
                </w:p>
              </w:tc>
            </w:tr>
          </w:tbl>
          <w:p>
            <w:pPr>
              <w:widowControl/>
              <w:ind w:firstLine="480"/>
              <w:jc w:val="both"/>
              <w:rPr>
                <w:kern w:val="0"/>
                <w:szCs w:val="20"/>
              </w:rPr>
            </w:pPr>
            <w:r>
              <w:rPr>
                <w:rFonts w:hint="eastAsia" w:cs="宋体"/>
                <w:kern w:val="0"/>
                <w:szCs w:val="20"/>
                <w:lang w:bidi="ar"/>
              </w:rPr>
              <w:t>由上表</w:t>
            </w:r>
            <w:r>
              <w:rPr>
                <w:rFonts w:cs="宋体"/>
                <w:kern w:val="0"/>
                <w:szCs w:val="20"/>
                <w:lang w:bidi="ar"/>
              </w:rPr>
              <w:t>10</w:t>
            </w:r>
            <w:r>
              <w:rPr>
                <w:rFonts w:hint="eastAsia" w:cs="宋体"/>
                <w:kern w:val="0"/>
                <w:szCs w:val="20"/>
                <w:lang w:bidi="ar"/>
              </w:rPr>
              <w:t>可知，其中</w:t>
            </w:r>
            <w:r>
              <w:rPr>
                <w:kern w:val="0"/>
                <w:szCs w:val="20"/>
                <w:lang w:bidi="ar"/>
              </w:rPr>
              <w:t>PM</w:t>
            </w:r>
            <w:r>
              <w:rPr>
                <w:kern w:val="0"/>
                <w:szCs w:val="20"/>
                <w:vertAlign w:val="subscript"/>
                <w:lang w:bidi="ar"/>
              </w:rPr>
              <w:t>10</w:t>
            </w:r>
            <w:r>
              <w:rPr>
                <w:rFonts w:hint="eastAsia" w:cs="宋体"/>
                <w:kern w:val="0"/>
                <w:szCs w:val="20"/>
                <w:lang w:bidi="ar"/>
              </w:rPr>
              <w:t>、</w:t>
            </w:r>
            <w:r>
              <w:rPr>
                <w:kern w:val="0"/>
                <w:szCs w:val="20"/>
                <w:lang w:bidi="ar"/>
              </w:rPr>
              <w:t>PM</w:t>
            </w:r>
            <w:r>
              <w:rPr>
                <w:kern w:val="0"/>
                <w:szCs w:val="20"/>
                <w:vertAlign w:val="subscript"/>
                <w:lang w:bidi="ar"/>
              </w:rPr>
              <w:t>2.5</w:t>
            </w:r>
            <w:r>
              <w:rPr>
                <w:rFonts w:hint="eastAsia" w:cs="宋体"/>
                <w:kern w:val="0"/>
                <w:szCs w:val="20"/>
                <w:lang w:bidi="ar"/>
              </w:rPr>
              <w:t>和</w:t>
            </w:r>
            <w:r>
              <w:rPr>
                <w:kern w:val="0"/>
                <w:szCs w:val="20"/>
                <w:lang w:bidi="ar"/>
              </w:rPr>
              <w:t>NO</w:t>
            </w:r>
            <w:r>
              <w:rPr>
                <w:kern w:val="0"/>
                <w:szCs w:val="20"/>
                <w:vertAlign w:val="subscript"/>
                <w:lang w:bidi="ar"/>
              </w:rPr>
              <w:t>2</w:t>
            </w:r>
            <w:r>
              <w:rPr>
                <w:rFonts w:hint="eastAsia" w:cs="宋体"/>
                <w:kern w:val="0"/>
                <w:szCs w:val="20"/>
                <w:lang w:bidi="ar"/>
              </w:rPr>
              <w:t>等均不能够满足《环境空气质量标准》（</w:t>
            </w:r>
            <w:r>
              <w:rPr>
                <w:kern w:val="0"/>
                <w:szCs w:val="20"/>
                <w:lang w:bidi="ar"/>
              </w:rPr>
              <w:t>GB3095-2012</w:t>
            </w:r>
            <w:r>
              <w:rPr>
                <w:rFonts w:hint="eastAsia" w:cs="宋体"/>
                <w:kern w:val="0"/>
                <w:szCs w:val="20"/>
                <w:lang w:bidi="ar"/>
              </w:rPr>
              <w:t>）二级标准要求。根据《环境影响评价技术导则—大气环境》</w:t>
            </w:r>
            <w:r>
              <w:rPr>
                <w:kern w:val="0"/>
                <w:szCs w:val="20"/>
                <w:lang w:bidi="ar"/>
              </w:rPr>
              <w:t>(HJ2.2-2018)</w:t>
            </w:r>
            <w:r>
              <w:rPr>
                <w:rFonts w:hint="eastAsia" w:cs="宋体"/>
                <w:kern w:val="0"/>
                <w:szCs w:val="20"/>
                <w:lang w:bidi="ar"/>
              </w:rPr>
              <w:t>，本项目所在区域属于未达标区。</w:t>
            </w:r>
            <w:r>
              <w:t>分析超标原因为，随着新乡市工业的快速发展、能源消费和机动车保有量的快速增长，排放的大量二氧化硫、氮氧化物与挥发性有机物导致细颗粒物等二次污染呈加剧态势。</w:t>
            </w:r>
          </w:p>
          <w:p>
            <w:pPr>
              <w:widowControl/>
              <w:ind w:firstLine="480"/>
              <w:jc w:val="both"/>
            </w:pPr>
            <w:r>
              <w:rPr>
                <w:kern w:val="0"/>
                <w:szCs w:val="20"/>
                <w:lang w:bidi="ar"/>
              </w:rPr>
              <w:t>2018</w:t>
            </w:r>
            <w:r>
              <w:rPr>
                <w:rFonts w:hint="eastAsia" w:cs="宋体"/>
                <w:kern w:val="0"/>
                <w:szCs w:val="20"/>
                <w:lang w:bidi="ar"/>
              </w:rPr>
              <w:t>年，新乡市城市环境空气</w:t>
            </w:r>
            <w:r>
              <w:rPr>
                <w:kern w:val="0"/>
                <w:szCs w:val="20"/>
                <w:lang w:bidi="ar"/>
              </w:rPr>
              <w:t>PM</w:t>
            </w:r>
            <w:r>
              <w:rPr>
                <w:kern w:val="0"/>
                <w:szCs w:val="20"/>
                <w:vertAlign w:val="subscript"/>
                <w:lang w:bidi="ar"/>
              </w:rPr>
              <w:t>10</w:t>
            </w:r>
            <w:r>
              <w:rPr>
                <w:rFonts w:hint="eastAsia" w:cs="宋体"/>
                <w:kern w:val="0"/>
                <w:szCs w:val="20"/>
                <w:lang w:bidi="ar"/>
              </w:rPr>
              <w:t>同比下降</w:t>
            </w:r>
            <w:r>
              <w:rPr>
                <w:kern w:val="0"/>
                <w:szCs w:val="20"/>
                <w:lang w:bidi="ar"/>
              </w:rPr>
              <w:t>4</w:t>
            </w:r>
            <w:r>
              <w:rPr>
                <w:rFonts w:hint="eastAsia" w:cs="宋体"/>
                <w:kern w:val="0"/>
                <w:szCs w:val="20"/>
                <w:lang w:bidi="ar"/>
              </w:rPr>
              <w:t>微克</w:t>
            </w:r>
            <w:r>
              <w:rPr>
                <w:kern w:val="0"/>
                <w:szCs w:val="20"/>
                <w:lang w:bidi="ar"/>
              </w:rPr>
              <w:t>/</w:t>
            </w:r>
            <w:r>
              <w:rPr>
                <w:rFonts w:hint="eastAsia" w:cs="宋体"/>
                <w:kern w:val="0"/>
                <w:szCs w:val="20"/>
                <w:lang w:bidi="ar"/>
              </w:rPr>
              <w:t>立方米，降幅</w:t>
            </w:r>
            <w:r>
              <w:rPr>
                <w:kern w:val="0"/>
                <w:szCs w:val="20"/>
                <w:lang w:bidi="ar"/>
              </w:rPr>
              <w:t>3.7%</w:t>
            </w:r>
            <w:r>
              <w:rPr>
                <w:rFonts w:hint="eastAsia" w:cs="宋体"/>
                <w:kern w:val="0"/>
                <w:szCs w:val="20"/>
                <w:lang w:bidi="ar"/>
              </w:rPr>
              <w:t>；</w:t>
            </w:r>
            <w:r>
              <w:rPr>
                <w:kern w:val="0"/>
                <w:szCs w:val="20"/>
                <w:lang w:bidi="ar"/>
              </w:rPr>
              <w:t>PM</w:t>
            </w:r>
            <w:r>
              <w:rPr>
                <w:kern w:val="0"/>
                <w:szCs w:val="20"/>
                <w:vertAlign w:val="subscript"/>
                <w:lang w:bidi="ar"/>
              </w:rPr>
              <w:t>2.5</w:t>
            </w:r>
            <w:r>
              <w:rPr>
                <w:rFonts w:hint="eastAsia" w:cs="宋体"/>
                <w:kern w:val="0"/>
                <w:szCs w:val="20"/>
                <w:lang w:bidi="ar"/>
              </w:rPr>
              <w:t>同比下降</w:t>
            </w:r>
            <w:r>
              <w:rPr>
                <w:kern w:val="0"/>
                <w:szCs w:val="20"/>
                <w:lang w:bidi="ar"/>
              </w:rPr>
              <w:t>2</w:t>
            </w:r>
            <w:r>
              <w:rPr>
                <w:rFonts w:hint="eastAsia" w:cs="宋体"/>
                <w:kern w:val="0"/>
                <w:szCs w:val="20"/>
                <w:lang w:bidi="ar"/>
              </w:rPr>
              <w:t>微克</w:t>
            </w:r>
            <w:r>
              <w:rPr>
                <w:kern w:val="0"/>
                <w:szCs w:val="20"/>
                <w:lang w:bidi="ar"/>
              </w:rPr>
              <w:t>/</w:t>
            </w:r>
            <w:r>
              <w:rPr>
                <w:rFonts w:hint="eastAsia" w:cs="宋体"/>
                <w:kern w:val="0"/>
                <w:szCs w:val="20"/>
                <w:lang w:bidi="ar"/>
              </w:rPr>
              <w:t>立方米，降幅</w:t>
            </w:r>
            <w:r>
              <w:rPr>
                <w:kern w:val="0"/>
                <w:szCs w:val="20"/>
                <w:lang w:bidi="ar"/>
              </w:rPr>
              <w:t>3.2%</w:t>
            </w:r>
            <w:r>
              <w:rPr>
                <w:rFonts w:hint="eastAsia" w:cs="宋体"/>
                <w:kern w:val="0"/>
                <w:szCs w:val="20"/>
                <w:lang w:bidi="ar"/>
              </w:rPr>
              <w:t>；</w:t>
            </w:r>
            <w:r>
              <w:rPr>
                <w:kern w:val="0"/>
                <w:szCs w:val="20"/>
                <w:lang w:bidi="ar"/>
              </w:rPr>
              <w:t>SO</w:t>
            </w:r>
            <w:r>
              <w:rPr>
                <w:kern w:val="0"/>
                <w:szCs w:val="20"/>
                <w:vertAlign w:val="subscript"/>
                <w:lang w:bidi="ar"/>
              </w:rPr>
              <w:t>2</w:t>
            </w:r>
            <w:r>
              <w:rPr>
                <w:rFonts w:hint="eastAsia" w:cs="宋体"/>
                <w:kern w:val="0"/>
                <w:szCs w:val="20"/>
                <w:lang w:bidi="ar"/>
              </w:rPr>
              <w:t>同比下降</w:t>
            </w:r>
            <w:r>
              <w:rPr>
                <w:kern w:val="0"/>
                <w:szCs w:val="20"/>
                <w:lang w:bidi="ar"/>
              </w:rPr>
              <w:t>9</w:t>
            </w:r>
            <w:r>
              <w:rPr>
                <w:rFonts w:hint="eastAsia" w:cs="宋体"/>
                <w:kern w:val="0"/>
                <w:szCs w:val="20"/>
                <w:lang w:bidi="ar"/>
              </w:rPr>
              <w:t>微克</w:t>
            </w:r>
            <w:r>
              <w:rPr>
                <w:kern w:val="0"/>
                <w:szCs w:val="20"/>
                <w:lang w:bidi="ar"/>
              </w:rPr>
              <w:t>/</w:t>
            </w:r>
            <w:r>
              <w:rPr>
                <w:rFonts w:hint="eastAsia" w:cs="宋体"/>
                <w:kern w:val="0"/>
                <w:szCs w:val="20"/>
                <w:lang w:bidi="ar"/>
              </w:rPr>
              <w:t>立方米，降幅</w:t>
            </w:r>
            <w:r>
              <w:rPr>
                <w:kern w:val="0"/>
                <w:szCs w:val="20"/>
                <w:lang w:bidi="ar"/>
              </w:rPr>
              <w:t>32.1%</w:t>
            </w:r>
            <w:r>
              <w:rPr>
                <w:rFonts w:hint="eastAsia" w:cs="宋体"/>
                <w:kern w:val="0"/>
                <w:szCs w:val="20"/>
                <w:lang w:bidi="ar"/>
              </w:rPr>
              <w:t>；</w:t>
            </w:r>
            <w:r>
              <w:rPr>
                <w:kern w:val="0"/>
                <w:szCs w:val="20"/>
                <w:lang w:bidi="ar"/>
              </w:rPr>
              <w:t>NO</w:t>
            </w:r>
            <w:r>
              <w:rPr>
                <w:kern w:val="0"/>
                <w:szCs w:val="20"/>
                <w:vertAlign w:val="subscript"/>
                <w:lang w:bidi="ar"/>
              </w:rPr>
              <w:t>2</w:t>
            </w:r>
            <w:r>
              <w:rPr>
                <w:rFonts w:hint="eastAsia" w:cs="宋体"/>
                <w:kern w:val="0"/>
                <w:szCs w:val="20"/>
                <w:lang w:bidi="ar"/>
              </w:rPr>
              <w:t>同比下降</w:t>
            </w:r>
            <w:r>
              <w:rPr>
                <w:kern w:val="0"/>
                <w:szCs w:val="20"/>
                <w:lang w:bidi="ar"/>
              </w:rPr>
              <w:t>1</w:t>
            </w:r>
            <w:r>
              <w:rPr>
                <w:rFonts w:hint="eastAsia" w:cs="宋体"/>
                <w:kern w:val="0"/>
                <w:szCs w:val="20"/>
                <w:lang w:bidi="ar"/>
              </w:rPr>
              <w:t>微克</w:t>
            </w:r>
            <w:r>
              <w:rPr>
                <w:kern w:val="0"/>
                <w:szCs w:val="20"/>
                <w:lang w:bidi="ar"/>
              </w:rPr>
              <w:t>/</w:t>
            </w:r>
            <w:r>
              <w:rPr>
                <w:rFonts w:hint="eastAsia" w:cs="宋体"/>
                <w:kern w:val="0"/>
                <w:szCs w:val="20"/>
                <w:lang w:bidi="ar"/>
              </w:rPr>
              <w:t>立方米，降幅</w:t>
            </w:r>
            <w:r>
              <w:rPr>
                <w:kern w:val="0"/>
                <w:szCs w:val="20"/>
                <w:lang w:bidi="ar"/>
              </w:rPr>
              <w:t>2%</w:t>
            </w:r>
            <w:r>
              <w:rPr>
                <w:rFonts w:hint="eastAsia" w:cs="宋体"/>
                <w:kern w:val="0"/>
                <w:szCs w:val="20"/>
                <w:lang w:bidi="ar"/>
              </w:rPr>
              <w:t>；</w:t>
            </w:r>
            <w:r>
              <w:rPr>
                <w:kern w:val="0"/>
                <w:szCs w:val="20"/>
                <w:lang w:bidi="ar"/>
              </w:rPr>
              <w:t>O</w:t>
            </w:r>
            <w:r>
              <w:rPr>
                <w:kern w:val="0"/>
                <w:szCs w:val="20"/>
                <w:vertAlign w:val="subscript"/>
                <w:lang w:bidi="ar"/>
              </w:rPr>
              <w:t>3</w:t>
            </w:r>
            <w:r>
              <w:rPr>
                <w:rFonts w:hint="eastAsia" w:cs="宋体"/>
                <w:kern w:val="0"/>
                <w:szCs w:val="20"/>
                <w:lang w:bidi="ar"/>
              </w:rPr>
              <w:t>第</w:t>
            </w:r>
            <w:r>
              <w:rPr>
                <w:kern w:val="0"/>
                <w:szCs w:val="20"/>
                <w:lang w:bidi="ar"/>
              </w:rPr>
              <w:t>90</w:t>
            </w:r>
            <w:r>
              <w:rPr>
                <w:rFonts w:hint="eastAsia" w:cs="宋体"/>
                <w:kern w:val="0"/>
                <w:szCs w:val="20"/>
                <w:lang w:bidi="ar"/>
              </w:rPr>
              <w:t>百分位浓度同比上升</w:t>
            </w:r>
            <w:r>
              <w:rPr>
                <w:kern w:val="0"/>
                <w:szCs w:val="20"/>
                <w:lang w:bidi="ar"/>
              </w:rPr>
              <w:t>7</w:t>
            </w:r>
            <w:r>
              <w:rPr>
                <w:rFonts w:hint="eastAsia" w:cs="宋体"/>
                <w:kern w:val="0"/>
                <w:szCs w:val="20"/>
                <w:lang w:bidi="ar"/>
              </w:rPr>
              <w:t>微克</w:t>
            </w:r>
            <w:r>
              <w:rPr>
                <w:kern w:val="0"/>
                <w:szCs w:val="20"/>
                <w:lang w:bidi="ar"/>
              </w:rPr>
              <w:t>/</w:t>
            </w:r>
            <w:r>
              <w:rPr>
                <w:rFonts w:hint="eastAsia" w:cs="宋体"/>
                <w:kern w:val="0"/>
                <w:szCs w:val="20"/>
                <w:lang w:bidi="ar"/>
              </w:rPr>
              <w:t>立方米，降幅</w:t>
            </w:r>
            <w:r>
              <w:rPr>
                <w:kern w:val="0"/>
                <w:szCs w:val="20"/>
                <w:lang w:bidi="ar"/>
              </w:rPr>
              <w:t>3.3%</w:t>
            </w:r>
            <w:r>
              <w:rPr>
                <w:rFonts w:hint="eastAsia" w:cs="宋体"/>
                <w:kern w:val="0"/>
                <w:szCs w:val="20"/>
                <w:lang w:bidi="ar"/>
              </w:rPr>
              <w:t>，</w:t>
            </w:r>
            <w:r>
              <w:rPr>
                <w:kern w:val="0"/>
                <w:szCs w:val="20"/>
                <w:lang w:bidi="ar"/>
              </w:rPr>
              <w:t>CO</w:t>
            </w:r>
            <w:r>
              <w:rPr>
                <w:rFonts w:hint="eastAsia" w:cs="宋体"/>
                <w:kern w:val="0"/>
                <w:szCs w:val="20"/>
                <w:lang w:bidi="ar"/>
              </w:rPr>
              <w:t>第</w:t>
            </w:r>
            <w:r>
              <w:rPr>
                <w:kern w:val="0"/>
                <w:szCs w:val="20"/>
                <w:lang w:bidi="ar"/>
              </w:rPr>
              <w:t>95</w:t>
            </w:r>
            <w:r>
              <w:rPr>
                <w:rFonts w:hint="eastAsia" w:cs="宋体"/>
                <w:kern w:val="0"/>
                <w:szCs w:val="20"/>
                <w:lang w:bidi="ar"/>
              </w:rPr>
              <w:t>百分位浓度同比下降</w:t>
            </w:r>
            <w:r>
              <w:rPr>
                <w:kern w:val="0"/>
                <w:szCs w:val="20"/>
                <w:lang w:bidi="ar"/>
              </w:rPr>
              <w:t>0.66</w:t>
            </w:r>
            <w:r>
              <w:rPr>
                <w:rFonts w:hint="eastAsia" w:cs="宋体"/>
                <w:kern w:val="0"/>
                <w:szCs w:val="20"/>
                <w:lang w:bidi="ar"/>
              </w:rPr>
              <w:t>微克</w:t>
            </w:r>
            <w:r>
              <w:rPr>
                <w:kern w:val="0"/>
                <w:szCs w:val="20"/>
                <w:lang w:bidi="ar"/>
              </w:rPr>
              <w:t>/</w:t>
            </w:r>
            <w:r>
              <w:rPr>
                <w:rFonts w:hint="eastAsia" w:cs="宋体"/>
                <w:kern w:val="0"/>
                <w:szCs w:val="20"/>
                <w:lang w:bidi="ar"/>
              </w:rPr>
              <w:t>立方米，降幅</w:t>
            </w:r>
            <w:r>
              <w:rPr>
                <w:kern w:val="0"/>
                <w:szCs w:val="20"/>
                <w:lang w:bidi="ar"/>
              </w:rPr>
              <w:t>22.3%</w:t>
            </w:r>
            <w:r>
              <w:rPr>
                <w:rFonts w:hint="eastAsia" w:cs="宋体"/>
                <w:kern w:val="0"/>
                <w:szCs w:val="20"/>
                <w:lang w:bidi="ar"/>
              </w:rPr>
              <w:t>。优、良天数</w:t>
            </w:r>
            <w:r>
              <w:rPr>
                <w:kern w:val="0"/>
                <w:szCs w:val="20"/>
                <w:lang w:bidi="ar"/>
              </w:rPr>
              <w:t>177</w:t>
            </w:r>
            <w:r>
              <w:rPr>
                <w:rFonts w:hint="eastAsia" w:cs="宋体"/>
                <w:kern w:val="0"/>
                <w:szCs w:val="20"/>
                <w:lang w:bidi="ar"/>
              </w:rPr>
              <w:t>天，优、良天数比例</w:t>
            </w:r>
            <w:r>
              <w:rPr>
                <w:kern w:val="0"/>
                <w:szCs w:val="20"/>
                <w:lang w:bidi="ar"/>
              </w:rPr>
              <w:t>51.8%</w:t>
            </w:r>
            <w:r>
              <w:rPr>
                <w:rFonts w:hint="eastAsia" w:cs="宋体"/>
                <w:kern w:val="0"/>
                <w:szCs w:val="20"/>
                <w:lang w:bidi="ar"/>
              </w:rPr>
              <w:t>，去年同期，优、良天数</w:t>
            </w:r>
            <w:r>
              <w:rPr>
                <w:kern w:val="0"/>
                <w:szCs w:val="20"/>
                <w:lang w:bidi="ar"/>
              </w:rPr>
              <w:t>173</w:t>
            </w:r>
            <w:r>
              <w:rPr>
                <w:rFonts w:hint="eastAsia" w:cs="宋体"/>
                <w:kern w:val="0"/>
                <w:szCs w:val="20"/>
                <w:lang w:bidi="ar"/>
              </w:rPr>
              <w:t>天，优、良天数比例</w:t>
            </w:r>
            <w:r>
              <w:rPr>
                <w:kern w:val="0"/>
                <w:szCs w:val="20"/>
                <w:lang w:bidi="ar"/>
              </w:rPr>
              <w:t>47.4%</w:t>
            </w:r>
            <w:r>
              <w:rPr>
                <w:rFonts w:hint="eastAsia" w:cs="宋体"/>
                <w:kern w:val="0"/>
                <w:szCs w:val="20"/>
                <w:lang w:bidi="ar"/>
              </w:rPr>
              <w:t>，同比优、良天数增加</w:t>
            </w:r>
            <w:r>
              <w:rPr>
                <w:kern w:val="0"/>
                <w:szCs w:val="20"/>
                <w:lang w:bidi="ar"/>
              </w:rPr>
              <w:t>4</w:t>
            </w:r>
            <w:r>
              <w:rPr>
                <w:rFonts w:hint="eastAsia" w:cs="宋体"/>
                <w:kern w:val="0"/>
                <w:szCs w:val="20"/>
                <w:lang w:bidi="ar"/>
              </w:rPr>
              <w:t>天，上升</w:t>
            </w:r>
            <w:r>
              <w:rPr>
                <w:kern w:val="0"/>
                <w:szCs w:val="20"/>
                <w:lang w:bidi="ar"/>
              </w:rPr>
              <w:t>4.4</w:t>
            </w:r>
            <w:r>
              <w:rPr>
                <w:rFonts w:hint="eastAsia" w:cs="宋体"/>
                <w:kern w:val="0"/>
                <w:szCs w:val="20"/>
                <w:lang w:bidi="ar"/>
              </w:rPr>
              <w:t>个百分点。</w:t>
            </w:r>
          </w:p>
          <w:p>
            <w:pPr>
              <w:ind w:firstLine="480"/>
            </w:pPr>
            <w:r>
              <w:t>根据《新乡市环境污染防治攻坚战三年行动实施方案(2018—2020年)》中关于环境空气的相关内容，2019年度目标全市PM2.5年均浓度达到57ug/m</w:t>
            </w:r>
            <w:r>
              <w:rPr>
                <w:vertAlign w:val="superscript"/>
              </w:rPr>
              <w:t>3</w:t>
            </w:r>
            <w:r>
              <w:t>以下，PM</w:t>
            </w:r>
            <w:r>
              <w:rPr>
                <w:vertAlign w:val="subscript"/>
              </w:rPr>
              <w:t>10</w:t>
            </w:r>
            <w:r>
              <w:t>年均浓度达到104ug/m</w:t>
            </w:r>
            <w:r>
              <w:rPr>
                <w:vertAlign w:val="superscript"/>
              </w:rPr>
              <w:t>3</w:t>
            </w:r>
            <w:r>
              <w:t>以下，全年优良天数比例达到61%以上；2020年度目标全市PM</w:t>
            </w:r>
            <w:r>
              <w:rPr>
                <w:vertAlign w:val="subscript"/>
              </w:rPr>
              <w:t>2.5</w:t>
            </w:r>
            <w:r>
              <w:t>年均浓度达到55ug/m</w:t>
            </w:r>
            <w:r>
              <w:rPr>
                <w:vertAlign w:val="superscript"/>
              </w:rPr>
              <w:t>3</w:t>
            </w:r>
            <w:r>
              <w:t>以下，PM</w:t>
            </w:r>
            <w:r>
              <w:rPr>
                <w:vertAlign w:val="subscript"/>
              </w:rPr>
              <w:t>10</w:t>
            </w:r>
            <w:r>
              <w:t>年均浓度达到101ug/m</w:t>
            </w:r>
            <w:r>
              <w:rPr>
                <w:vertAlign w:val="superscript"/>
              </w:rPr>
              <w:t>3</w:t>
            </w:r>
            <w:r>
              <w:t>以下，全年优良天数比例达到66%以上。</w:t>
            </w:r>
          </w:p>
          <w:p>
            <w:pPr>
              <w:ind w:firstLine="480"/>
            </w:pPr>
            <w:r>
              <w:t>为此提出坚决打赢蓝天保卫战，主要提出以下措施：</w:t>
            </w:r>
          </w:p>
          <w:p>
            <w:pPr>
              <w:ind w:firstLine="480"/>
            </w:pPr>
            <w:r>
              <w:t>（1）清洁能源替代工程实施煤炭消费总量控制、全面整治燃煤锅炉、积极发展可再生能源、提升天然气利用水平、有效推进清洁取暖、大力推进集中供热建设、提高能源利用效率。</w:t>
            </w:r>
          </w:p>
          <w:p>
            <w:pPr>
              <w:ind w:firstLine="480"/>
            </w:pPr>
            <w:r>
              <w:t>（2）产业结构优化工程</w:t>
            </w:r>
          </w:p>
          <w:p>
            <w:pPr>
              <w:ind w:firstLine="480"/>
            </w:pPr>
            <w:r>
              <w:t>优化产业空间布局、强化大气环境质量对规划环评的约束和指导作用、严格环境准入门槛、加快化解过剩产能、彻底整治“散乱污”企业、加快壮大新能源和节能环保产业。</w:t>
            </w:r>
          </w:p>
          <w:p>
            <w:pPr>
              <w:ind w:firstLine="480"/>
            </w:pPr>
            <w:r>
              <w:t>（3）工业污染治理工程</w:t>
            </w:r>
          </w:p>
          <w:p>
            <w:pPr>
              <w:ind w:firstLine="480"/>
            </w:pPr>
            <w:r>
              <w:t>持续推进工业污染源全面达标行动、开展工业炉窑治理专项行动、实施燃煤电厂深度治理、推进重点行业提标治理、全面提升锅炉烟气排放标准、实施重点行业 清洁生产、推动绿色制造体系建设、加快工业源VOCs治理。</w:t>
            </w:r>
          </w:p>
          <w:p>
            <w:pPr>
              <w:ind w:firstLine="480"/>
            </w:pPr>
            <w:r>
              <w:t>（4）扬尘污染治理工程</w:t>
            </w:r>
          </w:p>
          <w:p>
            <w:pPr>
              <w:ind w:firstLine="480"/>
            </w:pPr>
            <w:r>
              <w:t>推进造林绿化工程、深入开展城市清洁行动、加强道路扬尘综合整治、严格实施施工扬尘管理、强化工业料堆场扬尘整治、加强露天矿山粉尘整治。</w:t>
            </w:r>
          </w:p>
          <w:p>
            <w:pPr>
              <w:ind w:firstLine="480"/>
            </w:pPr>
            <w:r>
              <w:t>（5）面源污染治理工程</w:t>
            </w:r>
          </w:p>
          <w:p>
            <w:pPr>
              <w:ind w:firstLine="480"/>
            </w:pPr>
            <w:r>
              <w:t>推进农业秸秆综合利用、开展农牧业面源污染治理、开展大气氨排放摸底调查、有序开展生活源 VOCs 污染防治。</w:t>
            </w:r>
          </w:p>
          <w:p>
            <w:pPr>
              <w:ind w:firstLine="480"/>
            </w:pPr>
            <w:r>
              <w:t>（6）移动源污染治理工程</w:t>
            </w:r>
          </w:p>
          <w:p>
            <w:pPr>
              <w:ind w:firstLine="480"/>
            </w:pPr>
            <w:r>
              <w:t>推动运输结构优化调整、大力推广绿色城市运输装备、加强机动车源头管控、加强在用机动车排放监管、突出重型柴油车辆运输治理、持续推进老旧车辆淘汰、加强油品质量升级与监管、推进非道路移动源污染防治。</w:t>
            </w:r>
          </w:p>
          <w:p>
            <w:pPr>
              <w:ind w:firstLine="480"/>
            </w:pPr>
            <w:r>
              <w:t>（7）精细化管理提升工程</w:t>
            </w:r>
          </w:p>
          <w:p>
            <w:pPr>
              <w:ind w:firstLine="480"/>
            </w:pPr>
            <w:r>
              <w:t>完善环境监督管理机制、提高环境监测与预警应急能力、科学实施工业企业错峰生产、积极参与区域协同控制、推进大气环境信息公开、加强大气环境科研能力建设。</w:t>
            </w:r>
          </w:p>
          <w:p>
            <w:pPr>
              <w:ind w:firstLine="480"/>
            </w:pPr>
            <w:r>
              <w:t>通过上述一系列措施，项目所在地环境空气质量将有所改善。</w:t>
            </w:r>
          </w:p>
          <w:p>
            <w:pPr>
              <w:ind w:firstLine="0" w:firstLineChars="0"/>
              <w:jc w:val="both"/>
              <w:outlineLvl w:val="0"/>
              <w:rPr>
                <w:b/>
                <w:bCs/>
              </w:rPr>
            </w:pPr>
            <w:r>
              <w:rPr>
                <w:b/>
                <w:bCs/>
              </w:rPr>
              <w:t>2</w:t>
            </w:r>
            <w:r>
              <w:rPr>
                <w:rFonts w:hint="eastAsia"/>
                <w:b/>
                <w:bCs/>
              </w:rPr>
              <w:t>、</w:t>
            </w:r>
            <w:r>
              <w:rPr>
                <w:b/>
                <w:bCs/>
              </w:rPr>
              <w:t>地表水</w:t>
            </w:r>
          </w:p>
          <w:p>
            <w:pPr>
              <w:pStyle w:val="17"/>
              <w:adjustRightInd w:val="0"/>
              <w:ind w:firstLine="480"/>
              <w:jc w:val="both"/>
              <w:rPr>
                <w:szCs w:val="20"/>
              </w:rPr>
            </w:pPr>
            <w:r>
              <w:rPr>
                <w:rFonts w:hint="eastAsia"/>
                <w:lang w:bidi="ar"/>
              </w:rPr>
              <w:t>距离项目最近的地表水体为东侧约</w:t>
            </w:r>
            <w:r>
              <w:rPr>
                <w:lang w:bidi="ar"/>
              </w:rPr>
              <w:t>1.1km</w:t>
            </w:r>
            <w:r>
              <w:rPr>
                <w:rFonts w:hint="eastAsia"/>
                <w:lang w:bidi="ar"/>
              </w:rPr>
              <w:t>处的林庄排</w:t>
            </w:r>
            <w:r>
              <w:rPr>
                <w:rFonts w:eastAsia="Calibri"/>
                <w:lang w:bidi="ar"/>
              </w:rPr>
              <w:t>，最终汇入文岩渠</w:t>
            </w:r>
            <w:r>
              <w:rPr>
                <w:rFonts w:hint="eastAsia"/>
                <w:lang w:bidi="ar"/>
              </w:rPr>
              <w:t>。</w:t>
            </w:r>
            <w:r>
              <w:rPr>
                <w:rFonts w:eastAsia="Calibri"/>
                <w:szCs w:val="20"/>
                <w:lang w:bidi="ar"/>
              </w:rPr>
              <w:t>根据《新乡市环境污染防治攻坚战三年行动实施方案（2018-2020年）》（新政[2018]11号），</w:t>
            </w:r>
            <w:r>
              <w:rPr>
                <w:rFonts w:eastAsia="Calibri"/>
                <w:lang w:bidi="ar"/>
              </w:rPr>
              <w:t>文岩渠</w:t>
            </w:r>
            <w:r>
              <w:rPr>
                <w:rFonts w:hint="eastAsia"/>
                <w:lang w:bidi="ar"/>
              </w:rPr>
              <w:t>规划水体类型为</w:t>
            </w:r>
            <w:r>
              <w:rPr>
                <w:rFonts w:eastAsia="Calibri"/>
                <w:iCs/>
                <w:lang w:bidi="ar"/>
              </w:rPr>
              <w:fldChar w:fldCharType="begin"/>
            </w:r>
            <w:r>
              <w:rPr>
                <w:rFonts w:eastAsia="Calibri"/>
                <w:iCs/>
                <w:lang w:bidi="ar"/>
              </w:rPr>
              <w:instrText xml:space="preserve"> = 4 \* ROMAN </w:instrText>
            </w:r>
            <w:r>
              <w:rPr>
                <w:rFonts w:eastAsia="Calibri"/>
                <w:iCs/>
                <w:lang w:bidi="ar"/>
              </w:rPr>
              <w:fldChar w:fldCharType="separate"/>
            </w:r>
            <w:r>
              <w:rPr>
                <w:rFonts w:eastAsia="Calibri"/>
                <w:iCs/>
                <w:lang w:bidi="ar"/>
              </w:rPr>
              <w:t>V</w:t>
            </w:r>
            <w:r>
              <w:rPr>
                <w:rFonts w:eastAsia="Calibri"/>
                <w:iCs/>
                <w:lang w:bidi="ar"/>
              </w:rPr>
              <w:fldChar w:fldCharType="end"/>
            </w:r>
            <w:r>
              <w:rPr>
                <w:rFonts w:hint="eastAsia"/>
                <w:lang w:bidi="ar"/>
              </w:rPr>
              <w:t>类，执行《地表水环境质量标准》（</w:t>
            </w:r>
            <w:r>
              <w:rPr>
                <w:lang w:bidi="ar"/>
              </w:rPr>
              <w:t>GB3838-2002</w:t>
            </w:r>
            <w:r>
              <w:rPr>
                <w:rFonts w:hint="eastAsia"/>
                <w:lang w:bidi="ar"/>
              </w:rPr>
              <w:t>）</w:t>
            </w:r>
            <w:r>
              <w:rPr>
                <w:rFonts w:eastAsia="Calibri"/>
                <w:iCs/>
                <w:lang w:bidi="ar"/>
              </w:rPr>
              <w:fldChar w:fldCharType="begin"/>
            </w:r>
            <w:r>
              <w:rPr>
                <w:rFonts w:eastAsia="Calibri"/>
                <w:iCs/>
                <w:lang w:bidi="ar"/>
              </w:rPr>
              <w:instrText xml:space="preserve"> = 4 \* ROMAN </w:instrText>
            </w:r>
            <w:r>
              <w:rPr>
                <w:rFonts w:eastAsia="Calibri"/>
                <w:iCs/>
                <w:lang w:bidi="ar"/>
              </w:rPr>
              <w:fldChar w:fldCharType="separate"/>
            </w:r>
            <w:r>
              <w:rPr>
                <w:rFonts w:eastAsia="Calibri"/>
                <w:iCs/>
                <w:lang w:bidi="ar"/>
              </w:rPr>
              <w:t>V</w:t>
            </w:r>
            <w:r>
              <w:rPr>
                <w:rFonts w:eastAsia="Calibri"/>
                <w:iCs/>
                <w:lang w:bidi="ar"/>
              </w:rPr>
              <w:fldChar w:fldCharType="end"/>
            </w:r>
            <w:r>
              <w:rPr>
                <w:rFonts w:hint="eastAsia"/>
                <w:lang w:bidi="ar"/>
              </w:rPr>
              <w:t>类标准。</w:t>
            </w:r>
            <w:r>
              <w:rPr>
                <w:rFonts w:eastAsia="Calibri"/>
                <w:lang w:bidi="ar"/>
              </w:rPr>
              <w:t>评价引用新乡市</w:t>
            </w:r>
            <w:r>
              <w:rPr>
                <w:rFonts w:hint="eastAsia"/>
                <w:lang w:bidi="ar"/>
              </w:rPr>
              <w:t>生态环境局发布的《</w:t>
            </w:r>
            <w:r>
              <w:rPr>
                <w:lang w:bidi="ar"/>
              </w:rPr>
              <w:t>2019</w:t>
            </w:r>
            <w:r>
              <w:rPr>
                <w:rFonts w:hint="eastAsia"/>
                <w:lang w:bidi="ar"/>
              </w:rPr>
              <w:t>年第</w:t>
            </w:r>
            <w:r>
              <w:rPr>
                <w:lang w:bidi="ar"/>
              </w:rPr>
              <w:t>5</w:t>
            </w:r>
            <w:r>
              <w:rPr>
                <w:rFonts w:hint="eastAsia"/>
                <w:lang w:bidi="ar"/>
              </w:rPr>
              <w:t>期新乡市地表水环境责任目标断面水质月报》中</w:t>
            </w:r>
            <w:r>
              <w:rPr>
                <w:rFonts w:eastAsia="Calibri"/>
                <w:lang w:bidi="ar"/>
              </w:rPr>
              <w:t>对</w:t>
            </w:r>
            <w:r>
              <w:rPr>
                <w:rFonts w:hint="eastAsia"/>
                <w:lang w:bidi="ar"/>
              </w:rPr>
              <w:t>文岩渠封丘王堤断</w:t>
            </w:r>
            <w:r>
              <w:rPr>
                <w:rFonts w:eastAsia="Calibri"/>
                <w:lang w:bidi="ar"/>
              </w:rPr>
              <w:t>面的例行监测数据，数据见表。</w:t>
            </w:r>
          </w:p>
          <w:p>
            <w:pPr>
              <w:pStyle w:val="7"/>
              <w:rPr>
                <w:b/>
                <w:bCs/>
              </w:rPr>
            </w:pPr>
            <w:r>
              <w:rPr>
                <w:rFonts w:hint="eastAsia"/>
                <w:b/>
                <w:bCs/>
              </w:rPr>
              <w:t>文岩渠封丘王堤断面监测数据（</w:t>
            </w:r>
            <w:r>
              <w:rPr>
                <w:b/>
                <w:bCs/>
              </w:rPr>
              <w:t>2019</w:t>
            </w:r>
            <w:r>
              <w:rPr>
                <w:rFonts w:hint="eastAsia"/>
                <w:b/>
                <w:bCs/>
              </w:rPr>
              <w:t>年</w:t>
            </w:r>
            <w:r>
              <w:rPr>
                <w:b/>
                <w:bCs/>
              </w:rPr>
              <w:t>5</w:t>
            </w:r>
            <w:r>
              <w:rPr>
                <w:rFonts w:hint="eastAsia"/>
                <w:b/>
                <w:bCs/>
              </w:rPr>
              <w:t>月份月报）</w:t>
            </w:r>
            <w:r>
              <w:rPr>
                <w:b/>
                <w:bCs/>
              </w:rPr>
              <w:t xml:space="preserve">     </w:t>
            </w:r>
            <w:r>
              <w:rPr>
                <w:rFonts w:hint="eastAsia"/>
                <w:b/>
                <w:bCs/>
              </w:rPr>
              <w:t>单位：</w:t>
            </w:r>
            <w:r>
              <w:rPr>
                <w:b/>
                <w:bCs/>
              </w:rPr>
              <w:t>mg/L</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557"/>
              <w:gridCol w:w="1558"/>
              <w:gridCol w:w="1557"/>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1" w:type="dxa"/>
                  <w:shd w:val="clear" w:color="auto" w:fill="auto"/>
                  <w:vAlign w:val="center"/>
                </w:tcPr>
                <w:p>
                  <w:pPr>
                    <w:adjustRightInd w:val="0"/>
                    <w:snapToGrid w:val="0"/>
                    <w:spacing w:line="240" w:lineRule="auto"/>
                    <w:ind w:firstLine="0" w:firstLineChars="0"/>
                    <w:jc w:val="center"/>
                    <w:rPr>
                      <w:bCs/>
                      <w:sz w:val="21"/>
                      <w:szCs w:val="21"/>
                    </w:rPr>
                  </w:pPr>
                  <w:r>
                    <w:rPr>
                      <w:rFonts w:hint="eastAsia" w:cs="宋体"/>
                      <w:bCs/>
                      <w:sz w:val="21"/>
                      <w:szCs w:val="21"/>
                      <w:lang w:bidi="ar"/>
                    </w:rPr>
                    <w:t>监测因子</w:t>
                  </w:r>
                </w:p>
              </w:tc>
              <w:tc>
                <w:tcPr>
                  <w:tcW w:w="1559" w:type="dxa"/>
                  <w:shd w:val="clear" w:color="auto" w:fill="auto"/>
                  <w:vAlign w:val="center"/>
                </w:tcPr>
                <w:p>
                  <w:pPr>
                    <w:adjustRightInd w:val="0"/>
                    <w:snapToGrid w:val="0"/>
                    <w:spacing w:line="240" w:lineRule="auto"/>
                    <w:ind w:firstLine="0" w:firstLineChars="0"/>
                    <w:jc w:val="center"/>
                    <w:rPr>
                      <w:bCs/>
                      <w:sz w:val="21"/>
                      <w:szCs w:val="21"/>
                    </w:rPr>
                  </w:pPr>
                  <w:r>
                    <w:rPr>
                      <w:bCs/>
                      <w:sz w:val="21"/>
                      <w:szCs w:val="21"/>
                      <w:lang w:bidi="ar"/>
                    </w:rPr>
                    <w:t>COD</w:t>
                  </w:r>
                </w:p>
              </w:tc>
              <w:tc>
                <w:tcPr>
                  <w:tcW w:w="1559" w:type="dxa"/>
                  <w:shd w:val="clear" w:color="auto" w:fill="auto"/>
                  <w:vAlign w:val="center"/>
                </w:tcPr>
                <w:p>
                  <w:pPr>
                    <w:adjustRightInd w:val="0"/>
                    <w:snapToGrid w:val="0"/>
                    <w:spacing w:line="240" w:lineRule="auto"/>
                    <w:ind w:firstLine="0" w:firstLineChars="0"/>
                    <w:jc w:val="center"/>
                    <w:rPr>
                      <w:bCs/>
                      <w:sz w:val="21"/>
                      <w:szCs w:val="21"/>
                    </w:rPr>
                  </w:pPr>
                  <w:r>
                    <w:rPr>
                      <w:bCs/>
                      <w:sz w:val="21"/>
                      <w:szCs w:val="21"/>
                      <w:lang w:bidi="ar"/>
                    </w:rPr>
                    <w:t>NH</w:t>
                  </w:r>
                  <w:r>
                    <w:rPr>
                      <w:bCs/>
                      <w:sz w:val="21"/>
                      <w:szCs w:val="21"/>
                      <w:vertAlign w:val="subscript"/>
                      <w:lang w:bidi="ar"/>
                    </w:rPr>
                    <w:t>3</w:t>
                  </w:r>
                  <w:r>
                    <w:rPr>
                      <w:bCs/>
                      <w:sz w:val="21"/>
                      <w:szCs w:val="21"/>
                      <w:lang w:bidi="ar"/>
                    </w:rPr>
                    <w:t>-N</w:t>
                  </w:r>
                </w:p>
              </w:tc>
              <w:tc>
                <w:tcPr>
                  <w:tcW w:w="1559" w:type="dxa"/>
                  <w:shd w:val="clear" w:color="auto" w:fill="auto"/>
                  <w:vAlign w:val="center"/>
                </w:tcPr>
                <w:p>
                  <w:pPr>
                    <w:adjustRightInd w:val="0"/>
                    <w:snapToGrid w:val="0"/>
                    <w:spacing w:line="240" w:lineRule="auto"/>
                    <w:ind w:firstLine="0" w:firstLineChars="0"/>
                    <w:jc w:val="center"/>
                    <w:rPr>
                      <w:bCs/>
                      <w:sz w:val="21"/>
                      <w:szCs w:val="21"/>
                    </w:rPr>
                  </w:pPr>
                  <w:r>
                    <w:rPr>
                      <w:bCs/>
                      <w:sz w:val="21"/>
                      <w:szCs w:val="21"/>
                      <w:lang w:bidi="ar"/>
                    </w:rPr>
                    <w:t>TP</w:t>
                  </w:r>
                </w:p>
              </w:tc>
              <w:tc>
                <w:tcPr>
                  <w:tcW w:w="2482" w:type="dxa"/>
                  <w:shd w:val="clear" w:color="auto" w:fill="auto"/>
                  <w:vAlign w:val="center"/>
                </w:tcPr>
                <w:p>
                  <w:pPr>
                    <w:adjustRightInd w:val="0"/>
                    <w:snapToGrid w:val="0"/>
                    <w:spacing w:line="240" w:lineRule="auto"/>
                    <w:ind w:firstLine="0" w:firstLineChars="0"/>
                    <w:jc w:val="center"/>
                    <w:rPr>
                      <w:bCs/>
                      <w:sz w:val="21"/>
                      <w:szCs w:val="21"/>
                    </w:rPr>
                  </w:pPr>
                  <w:r>
                    <w:rPr>
                      <w:bCs/>
                      <w:sz w:val="21"/>
                      <w:szCs w:val="21"/>
                      <w:lang w:bidi="ar"/>
                    </w:rPr>
                    <w:t>1-5</w:t>
                  </w:r>
                  <w:r>
                    <w:rPr>
                      <w:rFonts w:hint="eastAsia" w:cs="宋体"/>
                      <w:bCs/>
                      <w:sz w:val="21"/>
                      <w:szCs w:val="21"/>
                      <w:lang w:bidi="ar"/>
                    </w:rPr>
                    <w:t>月累计达标率（</w:t>
                  </w:r>
                  <w:r>
                    <w:rPr>
                      <w:bCs/>
                      <w:sz w:val="21"/>
                      <w:szCs w:val="21"/>
                      <w:lang w:bidi="ar"/>
                    </w:rPr>
                    <w:t>%</w:t>
                  </w:r>
                  <w:r>
                    <w:rPr>
                      <w:rFonts w:hint="eastAsia" w:cs="宋体"/>
                      <w:bCs/>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1" w:type="dxa"/>
                  <w:shd w:val="clear" w:color="auto" w:fill="auto"/>
                  <w:vAlign w:val="center"/>
                </w:tcPr>
                <w:p>
                  <w:pPr>
                    <w:adjustRightInd w:val="0"/>
                    <w:snapToGrid w:val="0"/>
                    <w:spacing w:line="240" w:lineRule="auto"/>
                    <w:ind w:firstLine="0" w:firstLineChars="0"/>
                    <w:jc w:val="center"/>
                    <w:rPr>
                      <w:sz w:val="21"/>
                      <w:szCs w:val="21"/>
                    </w:rPr>
                  </w:pPr>
                  <w:r>
                    <w:rPr>
                      <w:rFonts w:hint="eastAsia" w:cs="宋体"/>
                      <w:sz w:val="21"/>
                      <w:szCs w:val="21"/>
                      <w:lang w:bidi="ar"/>
                    </w:rPr>
                    <w:t>监测数据</w:t>
                  </w:r>
                </w:p>
              </w:tc>
              <w:tc>
                <w:tcPr>
                  <w:tcW w:w="1559" w:type="dxa"/>
                  <w:shd w:val="clear" w:color="auto" w:fill="auto"/>
                  <w:vAlign w:val="center"/>
                </w:tcPr>
                <w:p>
                  <w:pPr>
                    <w:adjustRightInd w:val="0"/>
                    <w:snapToGrid w:val="0"/>
                    <w:spacing w:line="240" w:lineRule="auto"/>
                    <w:ind w:firstLine="0" w:firstLineChars="0"/>
                    <w:jc w:val="center"/>
                    <w:rPr>
                      <w:sz w:val="21"/>
                      <w:szCs w:val="21"/>
                    </w:rPr>
                  </w:pPr>
                  <w:r>
                    <w:rPr>
                      <w:sz w:val="21"/>
                      <w:szCs w:val="21"/>
                      <w:lang w:bidi="ar"/>
                    </w:rPr>
                    <w:t>13.0</w:t>
                  </w:r>
                </w:p>
              </w:tc>
              <w:tc>
                <w:tcPr>
                  <w:tcW w:w="1559" w:type="dxa"/>
                  <w:shd w:val="clear" w:color="auto" w:fill="auto"/>
                  <w:vAlign w:val="center"/>
                </w:tcPr>
                <w:p>
                  <w:pPr>
                    <w:spacing w:line="240" w:lineRule="auto"/>
                    <w:ind w:firstLine="0" w:firstLineChars="0"/>
                    <w:jc w:val="center"/>
                    <w:rPr>
                      <w:sz w:val="21"/>
                      <w:szCs w:val="21"/>
                    </w:rPr>
                  </w:pPr>
                  <w:r>
                    <w:rPr>
                      <w:sz w:val="21"/>
                      <w:szCs w:val="21"/>
                      <w:lang w:bidi="ar"/>
                    </w:rPr>
                    <w:t>0.04</w:t>
                  </w:r>
                </w:p>
              </w:tc>
              <w:tc>
                <w:tcPr>
                  <w:tcW w:w="1559" w:type="dxa"/>
                  <w:shd w:val="clear" w:color="auto" w:fill="auto"/>
                  <w:vAlign w:val="center"/>
                </w:tcPr>
                <w:p>
                  <w:pPr>
                    <w:spacing w:line="240" w:lineRule="auto"/>
                    <w:ind w:firstLine="0" w:firstLineChars="0"/>
                    <w:jc w:val="center"/>
                    <w:rPr>
                      <w:sz w:val="21"/>
                      <w:szCs w:val="21"/>
                    </w:rPr>
                  </w:pPr>
                  <w:r>
                    <w:rPr>
                      <w:sz w:val="21"/>
                      <w:szCs w:val="21"/>
                      <w:lang w:bidi="ar"/>
                    </w:rPr>
                    <w:t>0.04</w:t>
                  </w:r>
                </w:p>
              </w:tc>
              <w:tc>
                <w:tcPr>
                  <w:tcW w:w="2482" w:type="dxa"/>
                  <w:vMerge w:val="restart"/>
                  <w:shd w:val="clear" w:color="auto" w:fill="auto"/>
                  <w:vAlign w:val="center"/>
                </w:tcPr>
                <w:p>
                  <w:pPr>
                    <w:spacing w:line="240" w:lineRule="auto"/>
                    <w:ind w:firstLine="0" w:firstLineChars="0"/>
                    <w:jc w:val="center"/>
                    <w:rPr>
                      <w:sz w:val="21"/>
                      <w:szCs w:val="21"/>
                    </w:rPr>
                  </w:pPr>
                  <w:r>
                    <w:rPr>
                      <w:sz w:val="21"/>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1" w:type="dxa"/>
                  <w:shd w:val="clear" w:color="auto" w:fill="auto"/>
                  <w:vAlign w:val="center"/>
                </w:tcPr>
                <w:p>
                  <w:pPr>
                    <w:adjustRightInd w:val="0"/>
                    <w:snapToGrid w:val="0"/>
                    <w:spacing w:line="240" w:lineRule="auto"/>
                    <w:ind w:firstLine="0" w:firstLineChars="0"/>
                    <w:jc w:val="center"/>
                    <w:rPr>
                      <w:sz w:val="21"/>
                      <w:szCs w:val="21"/>
                    </w:rPr>
                  </w:pPr>
                  <w:r>
                    <w:rPr>
                      <w:rFonts w:hint="eastAsia" w:cs="宋体"/>
                      <w:sz w:val="21"/>
                      <w:szCs w:val="21"/>
                      <w:lang w:bidi="ar"/>
                    </w:rPr>
                    <w:t>执行标准</w:t>
                  </w:r>
                </w:p>
              </w:tc>
              <w:tc>
                <w:tcPr>
                  <w:tcW w:w="1559" w:type="dxa"/>
                  <w:shd w:val="clear" w:color="auto" w:fill="auto"/>
                  <w:vAlign w:val="center"/>
                </w:tcPr>
                <w:p>
                  <w:pPr>
                    <w:spacing w:line="240" w:lineRule="auto"/>
                    <w:ind w:firstLine="0" w:firstLineChars="0"/>
                    <w:jc w:val="center"/>
                    <w:rPr>
                      <w:sz w:val="21"/>
                      <w:szCs w:val="21"/>
                    </w:rPr>
                  </w:pPr>
                  <w:r>
                    <w:rPr>
                      <w:sz w:val="21"/>
                      <w:szCs w:val="21"/>
                      <w:lang w:bidi="ar"/>
                    </w:rPr>
                    <w:t>40</w:t>
                  </w:r>
                </w:p>
              </w:tc>
              <w:tc>
                <w:tcPr>
                  <w:tcW w:w="1559" w:type="dxa"/>
                  <w:shd w:val="clear" w:color="auto" w:fill="auto"/>
                  <w:vAlign w:val="center"/>
                </w:tcPr>
                <w:p>
                  <w:pPr>
                    <w:spacing w:line="240" w:lineRule="auto"/>
                    <w:ind w:firstLine="0" w:firstLineChars="0"/>
                    <w:jc w:val="center"/>
                    <w:rPr>
                      <w:sz w:val="21"/>
                      <w:szCs w:val="21"/>
                    </w:rPr>
                  </w:pPr>
                  <w:r>
                    <w:rPr>
                      <w:sz w:val="21"/>
                      <w:szCs w:val="21"/>
                      <w:lang w:bidi="ar"/>
                    </w:rPr>
                    <w:t>2.0</w:t>
                  </w:r>
                </w:p>
              </w:tc>
              <w:tc>
                <w:tcPr>
                  <w:tcW w:w="1559" w:type="dxa"/>
                  <w:shd w:val="clear" w:color="auto" w:fill="auto"/>
                  <w:vAlign w:val="center"/>
                </w:tcPr>
                <w:p>
                  <w:pPr>
                    <w:spacing w:line="240" w:lineRule="auto"/>
                    <w:ind w:firstLine="0" w:firstLineChars="0"/>
                    <w:jc w:val="center"/>
                    <w:rPr>
                      <w:sz w:val="21"/>
                      <w:szCs w:val="21"/>
                    </w:rPr>
                  </w:pPr>
                  <w:r>
                    <w:rPr>
                      <w:sz w:val="21"/>
                      <w:szCs w:val="21"/>
                      <w:lang w:bidi="ar"/>
                    </w:rPr>
                    <w:t>0.4</w:t>
                  </w:r>
                </w:p>
              </w:tc>
              <w:tc>
                <w:tcPr>
                  <w:tcW w:w="2482" w:type="dxa"/>
                  <w:vMerge w:val="continue"/>
                  <w:shd w:val="clear" w:color="auto" w:fill="auto"/>
                  <w:vAlign w:val="center"/>
                </w:tcPr>
                <w:p>
                  <w:pPr>
                    <w:spacing w:line="240" w:lineRule="auto"/>
                    <w:ind w:firstLine="0" w:firstLineChars="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1" w:type="dxa"/>
                  <w:shd w:val="clear" w:color="auto" w:fill="auto"/>
                  <w:vAlign w:val="center"/>
                </w:tcPr>
                <w:p>
                  <w:pPr>
                    <w:spacing w:line="240" w:lineRule="auto"/>
                    <w:ind w:firstLine="0" w:firstLineChars="0"/>
                    <w:jc w:val="center"/>
                    <w:rPr>
                      <w:sz w:val="21"/>
                      <w:szCs w:val="21"/>
                    </w:rPr>
                  </w:pPr>
                  <w:r>
                    <w:rPr>
                      <w:rFonts w:hint="eastAsia" w:cs="宋体"/>
                      <w:sz w:val="21"/>
                      <w:szCs w:val="21"/>
                      <w:lang w:bidi="ar"/>
                    </w:rPr>
                    <w:t>达标情况</w:t>
                  </w:r>
                </w:p>
              </w:tc>
              <w:tc>
                <w:tcPr>
                  <w:tcW w:w="1559" w:type="dxa"/>
                  <w:shd w:val="clear" w:color="auto" w:fill="auto"/>
                  <w:vAlign w:val="center"/>
                </w:tcPr>
                <w:p>
                  <w:pPr>
                    <w:spacing w:line="240" w:lineRule="auto"/>
                    <w:ind w:firstLine="0" w:firstLineChars="0"/>
                    <w:jc w:val="center"/>
                    <w:rPr>
                      <w:sz w:val="21"/>
                      <w:szCs w:val="21"/>
                    </w:rPr>
                  </w:pPr>
                  <w:r>
                    <w:rPr>
                      <w:rFonts w:hint="eastAsia" w:cs="宋体"/>
                      <w:sz w:val="21"/>
                      <w:szCs w:val="21"/>
                      <w:lang w:bidi="ar"/>
                    </w:rPr>
                    <w:t>达标</w:t>
                  </w:r>
                </w:p>
              </w:tc>
              <w:tc>
                <w:tcPr>
                  <w:tcW w:w="1559" w:type="dxa"/>
                  <w:shd w:val="clear" w:color="auto" w:fill="auto"/>
                  <w:vAlign w:val="center"/>
                </w:tcPr>
                <w:p>
                  <w:pPr>
                    <w:spacing w:line="240" w:lineRule="auto"/>
                    <w:ind w:firstLine="0" w:firstLineChars="0"/>
                    <w:jc w:val="center"/>
                    <w:rPr>
                      <w:sz w:val="21"/>
                      <w:szCs w:val="21"/>
                    </w:rPr>
                  </w:pPr>
                  <w:r>
                    <w:rPr>
                      <w:rFonts w:hint="eastAsia" w:cs="宋体"/>
                      <w:sz w:val="21"/>
                      <w:szCs w:val="21"/>
                      <w:lang w:bidi="ar"/>
                    </w:rPr>
                    <w:t>达标</w:t>
                  </w:r>
                </w:p>
              </w:tc>
              <w:tc>
                <w:tcPr>
                  <w:tcW w:w="1559" w:type="dxa"/>
                  <w:shd w:val="clear" w:color="auto" w:fill="auto"/>
                  <w:vAlign w:val="center"/>
                </w:tcPr>
                <w:p>
                  <w:pPr>
                    <w:spacing w:line="240" w:lineRule="auto"/>
                    <w:ind w:firstLine="0" w:firstLineChars="0"/>
                    <w:jc w:val="center"/>
                    <w:rPr>
                      <w:sz w:val="21"/>
                      <w:szCs w:val="21"/>
                    </w:rPr>
                  </w:pPr>
                  <w:r>
                    <w:rPr>
                      <w:rFonts w:hint="eastAsia" w:cs="宋体"/>
                      <w:sz w:val="21"/>
                      <w:szCs w:val="21"/>
                      <w:lang w:bidi="ar"/>
                    </w:rPr>
                    <w:t>达标</w:t>
                  </w:r>
                </w:p>
              </w:tc>
              <w:tc>
                <w:tcPr>
                  <w:tcW w:w="2482" w:type="dxa"/>
                  <w:vMerge w:val="continue"/>
                  <w:shd w:val="clear" w:color="auto" w:fill="auto"/>
                  <w:vAlign w:val="center"/>
                </w:tcPr>
                <w:p>
                  <w:pPr>
                    <w:spacing w:line="240" w:lineRule="auto"/>
                    <w:ind w:firstLine="0" w:firstLineChars="0"/>
                    <w:rPr>
                      <w:sz w:val="20"/>
                      <w:szCs w:val="20"/>
                    </w:rPr>
                  </w:pPr>
                </w:p>
              </w:tc>
            </w:tr>
          </w:tbl>
          <w:p>
            <w:pPr>
              <w:adjustRightInd w:val="0"/>
              <w:snapToGrid w:val="0"/>
              <w:ind w:firstLine="480"/>
              <w:jc w:val="both"/>
              <w:rPr>
                <w:szCs w:val="22"/>
              </w:rPr>
            </w:pPr>
            <w:r>
              <w:rPr>
                <w:rFonts w:hint="eastAsia" w:cs="宋体"/>
                <w:bCs/>
                <w:lang w:bidi="ar"/>
              </w:rPr>
              <w:t>由上表可知，</w:t>
            </w:r>
            <w:r>
              <w:rPr>
                <w:lang w:bidi="ar"/>
              </w:rPr>
              <w:t>2019</w:t>
            </w:r>
            <w:r>
              <w:rPr>
                <w:rFonts w:hint="eastAsia" w:cs="宋体"/>
                <w:lang w:bidi="ar"/>
              </w:rPr>
              <w:t>年</w:t>
            </w:r>
            <w:r>
              <w:rPr>
                <w:lang w:bidi="ar"/>
              </w:rPr>
              <w:t>1</w:t>
            </w:r>
            <w:r>
              <w:rPr>
                <w:rFonts w:hint="eastAsia" w:cs="宋体"/>
                <w:lang w:bidi="ar"/>
              </w:rPr>
              <w:t>月-</w:t>
            </w:r>
            <w:r>
              <w:rPr>
                <w:lang w:bidi="ar"/>
              </w:rPr>
              <w:t>5</w:t>
            </w:r>
            <w:r>
              <w:rPr>
                <w:rFonts w:hint="eastAsia" w:cs="宋体"/>
                <w:lang w:bidi="ar"/>
              </w:rPr>
              <w:t>月，文岩渠封丘王堤断面累计达标率为</w:t>
            </w:r>
            <w:r>
              <w:rPr>
                <w:lang w:bidi="ar"/>
              </w:rPr>
              <w:t>40%</w:t>
            </w:r>
            <w:r>
              <w:rPr>
                <w:rFonts w:hint="eastAsia" w:cs="宋体"/>
                <w:lang w:bidi="ar"/>
              </w:rPr>
              <w:t>。</w:t>
            </w:r>
            <w:r>
              <w:rPr>
                <w:rFonts w:hint="eastAsia" w:cs="宋体"/>
                <w:szCs w:val="22"/>
                <w:lang w:bidi="ar"/>
              </w:rPr>
              <w:t>目前新乡市正在推进实施《</w:t>
            </w:r>
            <w:r>
              <w:rPr>
                <w:szCs w:val="22"/>
                <w:lang w:bidi="ar"/>
              </w:rPr>
              <w:t>2016</w:t>
            </w:r>
            <w:r>
              <w:rPr>
                <w:rFonts w:hint="eastAsia" w:cs="宋体"/>
                <w:szCs w:val="22"/>
                <w:lang w:bidi="ar"/>
              </w:rPr>
              <w:t>年新乡市碧水工程实施方案》（新政办（</w:t>
            </w:r>
            <w:r>
              <w:rPr>
                <w:szCs w:val="22"/>
                <w:lang w:bidi="ar"/>
              </w:rPr>
              <w:t>2016</w:t>
            </w:r>
            <w:r>
              <w:rPr>
                <w:rFonts w:hint="eastAsia" w:cs="宋体"/>
                <w:szCs w:val="22"/>
                <w:lang w:bidi="ar"/>
              </w:rPr>
              <w:t>）</w:t>
            </w:r>
            <w:r>
              <w:rPr>
                <w:szCs w:val="22"/>
                <w:lang w:bidi="ar"/>
              </w:rPr>
              <w:t>55</w:t>
            </w:r>
            <w:r>
              <w:rPr>
                <w:rFonts w:hint="eastAsia" w:cs="宋体"/>
                <w:szCs w:val="22"/>
                <w:lang w:bidi="ar"/>
              </w:rPr>
              <w:t>号）、《新乡市碧水工程行动计划（水污染防治工作方案）》（新政文（</w:t>
            </w:r>
            <w:r>
              <w:rPr>
                <w:szCs w:val="22"/>
                <w:lang w:bidi="ar"/>
              </w:rPr>
              <w:t>2016</w:t>
            </w:r>
            <w:r>
              <w:rPr>
                <w:rFonts w:hint="eastAsia" w:cs="宋体"/>
                <w:szCs w:val="22"/>
                <w:lang w:bidi="ar"/>
              </w:rPr>
              <w:t>）</w:t>
            </w:r>
            <w:r>
              <w:rPr>
                <w:szCs w:val="22"/>
                <w:lang w:bidi="ar"/>
              </w:rPr>
              <w:t>122</w:t>
            </w:r>
            <w:r>
              <w:rPr>
                <w:rFonts w:hint="eastAsia" w:cs="宋体"/>
                <w:szCs w:val="22"/>
                <w:lang w:bidi="ar"/>
              </w:rPr>
              <w:t>号）、《新乡市人民政府关于打赢水污染防治攻坚战的意见》（新政文</w:t>
            </w:r>
            <w:r>
              <w:rPr>
                <w:szCs w:val="22"/>
                <w:lang w:bidi="ar"/>
              </w:rPr>
              <w:t>[2017]28</w:t>
            </w:r>
            <w:r>
              <w:rPr>
                <w:rFonts w:hint="eastAsia" w:cs="宋体"/>
                <w:szCs w:val="22"/>
                <w:lang w:bidi="ar"/>
              </w:rPr>
              <w:t>号）、《新乡市卫河流域水污染防治攻坚战实施方案等</w:t>
            </w:r>
            <w:r>
              <w:rPr>
                <w:szCs w:val="22"/>
                <w:lang w:bidi="ar"/>
              </w:rPr>
              <w:t>11</w:t>
            </w:r>
            <w:r>
              <w:rPr>
                <w:rFonts w:hint="eastAsia" w:cs="宋体"/>
                <w:szCs w:val="22"/>
                <w:lang w:bidi="ar"/>
              </w:rPr>
              <w:t>个专项方案》（新环攻坚办（</w:t>
            </w:r>
            <w:r>
              <w:rPr>
                <w:szCs w:val="22"/>
                <w:lang w:bidi="ar"/>
              </w:rPr>
              <w:t>2017</w:t>
            </w:r>
            <w:r>
              <w:rPr>
                <w:rFonts w:hint="eastAsia" w:cs="宋体"/>
                <w:szCs w:val="22"/>
                <w:lang w:bidi="ar"/>
              </w:rPr>
              <w:t>）</w:t>
            </w:r>
            <w:r>
              <w:rPr>
                <w:szCs w:val="22"/>
                <w:lang w:bidi="ar"/>
              </w:rPr>
              <w:t>20</w:t>
            </w:r>
            <w:r>
              <w:rPr>
                <w:rFonts w:hint="eastAsia" w:cs="宋体"/>
                <w:szCs w:val="22"/>
                <w:lang w:bidi="ar"/>
              </w:rPr>
              <w:t>号）和《新乡市污水处理厂及配套管网建设与城市黑臭水体整治实施方案》（新环攻坚办（</w:t>
            </w:r>
            <w:r>
              <w:rPr>
                <w:szCs w:val="22"/>
                <w:lang w:bidi="ar"/>
              </w:rPr>
              <w:t>2017</w:t>
            </w:r>
            <w:r>
              <w:rPr>
                <w:rFonts w:hint="eastAsia" w:cs="宋体"/>
                <w:szCs w:val="22"/>
                <w:lang w:bidi="ar"/>
              </w:rPr>
              <w:t>）</w:t>
            </w:r>
            <w:r>
              <w:rPr>
                <w:szCs w:val="22"/>
                <w:lang w:bidi="ar"/>
              </w:rPr>
              <w:t>13</w:t>
            </w:r>
            <w:r>
              <w:rPr>
                <w:rFonts w:hint="eastAsia" w:cs="宋体"/>
                <w:szCs w:val="22"/>
                <w:lang w:bidi="ar"/>
              </w:rPr>
              <w:t>号），将继续改善新乡市水环境质量。</w:t>
            </w:r>
          </w:p>
          <w:p>
            <w:pPr>
              <w:adjustRightInd w:val="0"/>
              <w:ind w:firstLine="480"/>
              <w:jc w:val="both"/>
              <w:rPr>
                <w:bCs/>
                <w:szCs w:val="22"/>
              </w:rPr>
            </w:pPr>
            <w:r>
              <w:rPr>
                <w:rFonts w:hint="eastAsia" w:cs="宋体"/>
                <w:bCs/>
                <w:szCs w:val="22"/>
                <w:lang w:bidi="ar"/>
              </w:rPr>
              <w:t>本项目废水为生活污水，经化粪池处理后定期清运，不外排，对地表水质量的影响可接受。</w:t>
            </w:r>
          </w:p>
          <w:p>
            <w:pPr>
              <w:ind w:firstLine="0" w:firstLineChars="0"/>
              <w:jc w:val="both"/>
              <w:outlineLvl w:val="0"/>
              <w:rPr>
                <w:b/>
                <w:bCs/>
              </w:rPr>
            </w:pPr>
            <w:r>
              <w:rPr>
                <w:b/>
                <w:bCs/>
              </w:rPr>
              <w:t>3、声环境环境质量现状</w:t>
            </w:r>
          </w:p>
          <w:p>
            <w:pPr>
              <w:widowControl/>
              <w:ind w:firstLine="480"/>
            </w:pPr>
            <w:r>
              <w:t>项目所在区域为声环境2类功能区，应执行《声环境质量标准》（GB 3096-2008）2类标准；本项目声环境监测结果见下表。</w:t>
            </w:r>
          </w:p>
          <w:p>
            <w:pPr>
              <w:pStyle w:val="7"/>
              <w:rPr>
                <w:b/>
                <w:bCs/>
              </w:rPr>
            </w:pPr>
            <w:r>
              <w:rPr>
                <w:b/>
                <w:bCs/>
              </w:rPr>
              <w:t>环境现状监测结果一览表</w:t>
            </w:r>
          </w:p>
          <w:tbl>
            <w:tblPr>
              <w:tblStyle w:val="20"/>
              <w:tblW w:w="8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1843"/>
              <w:gridCol w:w="1984"/>
              <w:gridCol w:w="2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Merge w:val="restart"/>
                  <w:vAlign w:val="center"/>
                </w:tcPr>
                <w:p>
                  <w:pPr>
                    <w:spacing w:line="320" w:lineRule="exact"/>
                    <w:ind w:firstLine="0" w:firstLineChars="0"/>
                    <w:jc w:val="center"/>
                    <w:rPr>
                      <w:sz w:val="21"/>
                      <w:szCs w:val="21"/>
                    </w:rPr>
                  </w:pPr>
                  <w:r>
                    <w:rPr>
                      <w:sz w:val="21"/>
                      <w:szCs w:val="21"/>
                    </w:rPr>
                    <w:t>监测方位</w:t>
                  </w:r>
                </w:p>
              </w:tc>
              <w:tc>
                <w:tcPr>
                  <w:tcW w:w="3827" w:type="dxa"/>
                  <w:gridSpan w:val="2"/>
                  <w:vAlign w:val="center"/>
                </w:tcPr>
                <w:p>
                  <w:pPr>
                    <w:spacing w:line="320" w:lineRule="exact"/>
                    <w:ind w:firstLine="0" w:firstLineChars="0"/>
                    <w:jc w:val="center"/>
                    <w:rPr>
                      <w:sz w:val="21"/>
                      <w:szCs w:val="21"/>
                    </w:rPr>
                  </w:pPr>
                  <w:r>
                    <w:rPr>
                      <w:sz w:val="21"/>
                      <w:szCs w:val="21"/>
                    </w:rPr>
                    <w:t>等效声级（dB）</w:t>
                  </w:r>
                </w:p>
              </w:tc>
              <w:tc>
                <w:tcPr>
                  <w:tcW w:w="2892" w:type="dxa"/>
                  <w:vMerge w:val="restart"/>
                  <w:vAlign w:val="center"/>
                </w:tcPr>
                <w:p>
                  <w:pPr>
                    <w:spacing w:line="320" w:lineRule="exact"/>
                    <w:ind w:firstLine="0" w:firstLineChars="0"/>
                    <w:jc w:val="center"/>
                    <w:rPr>
                      <w:sz w:val="21"/>
                      <w:szCs w:val="21"/>
                    </w:rPr>
                  </w:pPr>
                  <w:r>
                    <w:rPr>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Merge w:val="continue"/>
                  <w:vAlign w:val="center"/>
                </w:tcPr>
                <w:p>
                  <w:pPr>
                    <w:spacing w:line="320" w:lineRule="exact"/>
                    <w:ind w:firstLine="0" w:firstLineChars="0"/>
                    <w:jc w:val="center"/>
                    <w:rPr>
                      <w:sz w:val="21"/>
                      <w:szCs w:val="21"/>
                    </w:rPr>
                  </w:pPr>
                </w:p>
              </w:tc>
              <w:tc>
                <w:tcPr>
                  <w:tcW w:w="1843" w:type="dxa"/>
                  <w:vAlign w:val="center"/>
                </w:tcPr>
                <w:p>
                  <w:pPr>
                    <w:spacing w:line="320" w:lineRule="exact"/>
                    <w:ind w:firstLine="0" w:firstLineChars="0"/>
                    <w:jc w:val="center"/>
                    <w:rPr>
                      <w:sz w:val="21"/>
                      <w:szCs w:val="21"/>
                    </w:rPr>
                  </w:pPr>
                  <w:r>
                    <w:rPr>
                      <w:sz w:val="21"/>
                      <w:szCs w:val="21"/>
                    </w:rPr>
                    <w:t>昼间</w:t>
                  </w:r>
                </w:p>
              </w:tc>
              <w:tc>
                <w:tcPr>
                  <w:tcW w:w="1984" w:type="dxa"/>
                  <w:vAlign w:val="center"/>
                </w:tcPr>
                <w:p>
                  <w:pPr>
                    <w:spacing w:line="320" w:lineRule="exact"/>
                    <w:ind w:firstLine="0" w:firstLineChars="0"/>
                    <w:jc w:val="center"/>
                    <w:rPr>
                      <w:sz w:val="21"/>
                      <w:szCs w:val="21"/>
                    </w:rPr>
                  </w:pPr>
                  <w:r>
                    <w:rPr>
                      <w:sz w:val="21"/>
                      <w:szCs w:val="21"/>
                    </w:rPr>
                    <w:t>夜间</w:t>
                  </w:r>
                </w:p>
              </w:tc>
              <w:tc>
                <w:tcPr>
                  <w:tcW w:w="2892" w:type="dxa"/>
                  <w:vMerge w:val="continue"/>
                  <w:vAlign w:val="center"/>
                </w:tcPr>
                <w:p>
                  <w:pPr>
                    <w:spacing w:line="320" w:lineRule="exact"/>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Align w:val="center"/>
                </w:tcPr>
                <w:p>
                  <w:pPr>
                    <w:spacing w:line="320" w:lineRule="exact"/>
                    <w:ind w:firstLine="0" w:firstLineChars="0"/>
                    <w:jc w:val="center"/>
                    <w:rPr>
                      <w:sz w:val="21"/>
                      <w:szCs w:val="21"/>
                    </w:rPr>
                  </w:pPr>
                  <w:r>
                    <w:rPr>
                      <w:sz w:val="21"/>
                      <w:szCs w:val="21"/>
                    </w:rPr>
                    <w:t>北厂界</w:t>
                  </w:r>
                </w:p>
              </w:tc>
              <w:tc>
                <w:tcPr>
                  <w:tcW w:w="1843" w:type="dxa"/>
                  <w:vAlign w:val="center"/>
                </w:tcPr>
                <w:p>
                  <w:pPr>
                    <w:spacing w:line="320" w:lineRule="exact"/>
                    <w:ind w:firstLine="0" w:firstLineChars="0"/>
                    <w:jc w:val="center"/>
                    <w:rPr>
                      <w:sz w:val="21"/>
                      <w:szCs w:val="21"/>
                    </w:rPr>
                  </w:pPr>
                  <w:r>
                    <w:rPr>
                      <w:rFonts w:hint="eastAsia"/>
                      <w:sz w:val="21"/>
                      <w:szCs w:val="21"/>
                    </w:rPr>
                    <w:t>54</w:t>
                  </w:r>
                  <w:r>
                    <w:rPr>
                      <w:sz w:val="21"/>
                      <w:szCs w:val="21"/>
                    </w:rPr>
                    <w:t>.</w:t>
                  </w:r>
                  <w:r>
                    <w:rPr>
                      <w:rFonts w:hint="eastAsia"/>
                      <w:sz w:val="21"/>
                      <w:szCs w:val="21"/>
                    </w:rPr>
                    <w:t>2</w:t>
                  </w:r>
                  <w:r>
                    <w:rPr>
                      <w:sz w:val="21"/>
                      <w:szCs w:val="21"/>
                    </w:rPr>
                    <w:t>~5</w:t>
                  </w:r>
                  <w:r>
                    <w:rPr>
                      <w:rFonts w:hint="eastAsia"/>
                      <w:sz w:val="21"/>
                      <w:szCs w:val="21"/>
                    </w:rPr>
                    <w:t>5</w:t>
                  </w:r>
                  <w:r>
                    <w:rPr>
                      <w:sz w:val="21"/>
                      <w:szCs w:val="21"/>
                    </w:rPr>
                    <w:t>.</w:t>
                  </w:r>
                  <w:r>
                    <w:rPr>
                      <w:rFonts w:hint="eastAsia"/>
                      <w:sz w:val="21"/>
                      <w:szCs w:val="21"/>
                    </w:rPr>
                    <w:t>3</w:t>
                  </w:r>
                </w:p>
              </w:tc>
              <w:tc>
                <w:tcPr>
                  <w:tcW w:w="1984" w:type="dxa"/>
                  <w:vAlign w:val="center"/>
                </w:tcPr>
                <w:p>
                  <w:pPr>
                    <w:spacing w:line="320" w:lineRule="exact"/>
                    <w:ind w:firstLine="0" w:firstLineChars="0"/>
                    <w:jc w:val="center"/>
                    <w:rPr>
                      <w:sz w:val="21"/>
                      <w:szCs w:val="21"/>
                    </w:rPr>
                  </w:pPr>
                  <w:r>
                    <w:rPr>
                      <w:rFonts w:hint="eastAsia"/>
                      <w:sz w:val="21"/>
                      <w:szCs w:val="21"/>
                    </w:rPr>
                    <w:t>44.7</w:t>
                  </w:r>
                  <w:r>
                    <w:rPr>
                      <w:sz w:val="21"/>
                      <w:szCs w:val="21"/>
                    </w:rPr>
                    <w:t>~</w:t>
                  </w:r>
                  <w:r>
                    <w:rPr>
                      <w:rFonts w:hint="eastAsia"/>
                      <w:sz w:val="21"/>
                      <w:szCs w:val="21"/>
                    </w:rPr>
                    <w:t>45.6</w:t>
                  </w:r>
                </w:p>
              </w:tc>
              <w:tc>
                <w:tcPr>
                  <w:tcW w:w="2892" w:type="dxa"/>
                  <w:vMerge w:val="restart"/>
                  <w:vAlign w:val="center"/>
                </w:tcPr>
                <w:p>
                  <w:pPr>
                    <w:spacing w:line="320" w:lineRule="exact"/>
                    <w:ind w:firstLine="0" w:firstLineChars="0"/>
                    <w:jc w:val="center"/>
                    <w:rPr>
                      <w:sz w:val="21"/>
                      <w:szCs w:val="21"/>
                    </w:rPr>
                  </w:pPr>
                  <w:r>
                    <w:rPr>
                      <w:sz w:val="21"/>
                      <w:szCs w:val="21"/>
                    </w:rPr>
                    <w:t>《声环境质量标准》（GB3096-2008）</w:t>
                  </w:r>
                </w:p>
                <w:p>
                  <w:pPr>
                    <w:spacing w:line="320" w:lineRule="exact"/>
                    <w:ind w:firstLine="0" w:firstLineChars="0"/>
                    <w:jc w:val="center"/>
                    <w:rPr>
                      <w:sz w:val="21"/>
                      <w:szCs w:val="21"/>
                    </w:rPr>
                  </w:pPr>
                  <w:r>
                    <w:rPr>
                      <w:sz w:val="21"/>
                      <w:szCs w:val="21"/>
                    </w:rPr>
                    <w:t>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Align w:val="center"/>
                </w:tcPr>
                <w:p>
                  <w:pPr>
                    <w:spacing w:line="320" w:lineRule="exact"/>
                    <w:ind w:firstLine="0" w:firstLineChars="0"/>
                    <w:jc w:val="center"/>
                    <w:rPr>
                      <w:sz w:val="21"/>
                      <w:szCs w:val="21"/>
                    </w:rPr>
                  </w:pPr>
                  <w:r>
                    <w:rPr>
                      <w:sz w:val="21"/>
                      <w:szCs w:val="21"/>
                    </w:rPr>
                    <w:t>南厂界</w:t>
                  </w:r>
                </w:p>
              </w:tc>
              <w:tc>
                <w:tcPr>
                  <w:tcW w:w="1843" w:type="dxa"/>
                  <w:vAlign w:val="center"/>
                </w:tcPr>
                <w:p>
                  <w:pPr>
                    <w:spacing w:line="320" w:lineRule="exact"/>
                    <w:ind w:firstLine="0" w:firstLineChars="0"/>
                    <w:jc w:val="center"/>
                    <w:rPr>
                      <w:sz w:val="21"/>
                      <w:szCs w:val="21"/>
                    </w:rPr>
                  </w:pPr>
                  <w:r>
                    <w:rPr>
                      <w:rFonts w:hint="eastAsia"/>
                      <w:sz w:val="21"/>
                      <w:szCs w:val="21"/>
                    </w:rPr>
                    <w:t>55.5</w:t>
                  </w:r>
                  <w:r>
                    <w:rPr>
                      <w:sz w:val="21"/>
                      <w:szCs w:val="21"/>
                    </w:rPr>
                    <w:t>~</w:t>
                  </w:r>
                  <w:r>
                    <w:rPr>
                      <w:rFonts w:hint="eastAsia"/>
                      <w:sz w:val="21"/>
                      <w:szCs w:val="21"/>
                    </w:rPr>
                    <w:t>56.7</w:t>
                  </w:r>
                </w:p>
              </w:tc>
              <w:tc>
                <w:tcPr>
                  <w:tcW w:w="1984" w:type="dxa"/>
                  <w:vAlign w:val="center"/>
                </w:tcPr>
                <w:p>
                  <w:pPr>
                    <w:spacing w:line="320" w:lineRule="exact"/>
                    <w:ind w:firstLine="0" w:firstLineChars="0"/>
                    <w:jc w:val="center"/>
                    <w:rPr>
                      <w:sz w:val="21"/>
                      <w:szCs w:val="21"/>
                    </w:rPr>
                  </w:pPr>
                  <w:r>
                    <w:rPr>
                      <w:rFonts w:hint="eastAsia"/>
                      <w:sz w:val="21"/>
                      <w:szCs w:val="21"/>
                    </w:rPr>
                    <w:t>45.3</w:t>
                  </w:r>
                  <w:r>
                    <w:rPr>
                      <w:sz w:val="21"/>
                      <w:szCs w:val="21"/>
                    </w:rPr>
                    <w:t>~</w:t>
                  </w:r>
                  <w:r>
                    <w:rPr>
                      <w:rFonts w:hint="eastAsia"/>
                      <w:sz w:val="21"/>
                      <w:szCs w:val="21"/>
                    </w:rPr>
                    <w:t>46</w:t>
                  </w:r>
                  <w:r>
                    <w:rPr>
                      <w:sz w:val="21"/>
                      <w:szCs w:val="21"/>
                    </w:rPr>
                    <w:t>.</w:t>
                  </w:r>
                  <w:r>
                    <w:rPr>
                      <w:rFonts w:hint="eastAsia"/>
                      <w:sz w:val="21"/>
                      <w:szCs w:val="21"/>
                    </w:rPr>
                    <w:t>7</w:t>
                  </w:r>
                </w:p>
              </w:tc>
              <w:tc>
                <w:tcPr>
                  <w:tcW w:w="2892" w:type="dxa"/>
                  <w:vMerge w:val="continue"/>
                  <w:vAlign w:val="center"/>
                </w:tcPr>
                <w:p>
                  <w:pPr>
                    <w:widowControl/>
                    <w:ind w:firstLine="42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Align w:val="center"/>
                </w:tcPr>
                <w:p>
                  <w:pPr>
                    <w:spacing w:line="320" w:lineRule="exact"/>
                    <w:ind w:firstLine="0" w:firstLineChars="0"/>
                    <w:jc w:val="center"/>
                    <w:rPr>
                      <w:sz w:val="21"/>
                      <w:szCs w:val="21"/>
                    </w:rPr>
                  </w:pPr>
                  <w:r>
                    <w:rPr>
                      <w:sz w:val="21"/>
                      <w:szCs w:val="21"/>
                    </w:rPr>
                    <w:t>西厂界</w:t>
                  </w:r>
                </w:p>
              </w:tc>
              <w:tc>
                <w:tcPr>
                  <w:tcW w:w="1843" w:type="dxa"/>
                  <w:vAlign w:val="center"/>
                </w:tcPr>
                <w:p>
                  <w:pPr>
                    <w:spacing w:line="320" w:lineRule="exact"/>
                    <w:ind w:firstLine="0" w:firstLineChars="0"/>
                    <w:jc w:val="center"/>
                    <w:rPr>
                      <w:sz w:val="21"/>
                      <w:szCs w:val="21"/>
                    </w:rPr>
                  </w:pPr>
                  <w:r>
                    <w:rPr>
                      <w:rFonts w:hint="eastAsia"/>
                      <w:sz w:val="21"/>
                      <w:szCs w:val="21"/>
                    </w:rPr>
                    <w:t>55.8</w:t>
                  </w:r>
                  <w:r>
                    <w:rPr>
                      <w:sz w:val="21"/>
                      <w:szCs w:val="21"/>
                    </w:rPr>
                    <w:t>~5</w:t>
                  </w:r>
                  <w:r>
                    <w:rPr>
                      <w:rFonts w:hint="eastAsia"/>
                      <w:sz w:val="21"/>
                      <w:szCs w:val="21"/>
                    </w:rPr>
                    <w:t>6.7</w:t>
                  </w:r>
                </w:p>
              </w:tc>
              <w:tc>
                <w:tcPr>
                  <w:tcW w:w="1984" w:type="dxa"/>
                  <w:vAlign w:val="center"/>
                </w:tcPr>
                <w:p>
                  <w:pPr>
                    <w:spacing w:line="320" w:lineRule="exact"/>
                    <w:ind w:firstLine="0" w:firstLineChars="0"/>
                    <w:jc w:val="center"/>
                    <w:rPr>
                      <w:sz w:val="21"/>
                      <w:szCs w:val="21"/>
                    </w:rPr>
                  </w:pPr>
                  <w:r>
                    <w:rPr>
                      <w:sz w:val="21"/>
                      <w:szCs w:val="21"/>
                    </w:rPr>
                    <w:t>45.</w:t>
                  </w:r>
                  <w:r>
                    <w:rPr>
                      <w:rFonts w:hint="eastAsia"/>
                      <w:sz w:val="21"/>
                      <w:szCs w:val="21"/>
                    </w:rPr>
                    <w:t>4</w:t>
                  </w:r>
                  <w:r>
                    <w:rPr>
                      <w:sz w:val="21"/>
                      <w:szCs w:val="21"/>
                    </w:rPr>
                    <w:t>~4</w:t>
                  </w:r>
                  <w:r>
                    <w:rPr>
                      <w:rFonts w:hint="eastAsia"/>
                      <w:sz w:val="21"/>
                      <w:szCs w:val="21"/>
                    </w:rPr>
                    <w:t>6.9</w:t>
                  </w:r>
                </w:p>
              </w:tc>
              <w:tc>
                <w:tcPr>
                  <w:tcW w:w="2892" w:type="dxa"/>
                  <w:vMerge w:val="continue"/>
                  <w:vAlign w:val="center"/>
                </w:tcPr>
                <w:p>
                  <w:pPr>
                    <w:widowControl/>
                    <w:ind w:firstLine="42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Align w:val="center"/>
                </w:tcPr>
                <w:p>
                  <w:pPr>
                    <w:spacing w:line="320" w:lineRule="exact"/>
                    <w:ind w:firstLine="0" w:firstLineChars="0"/>
                    <w:jc w:val="center"/>
                    <w:rPr>
                      <w:sz w:val="21"/>
                      <w:szCs w:val="21"/>
                    </w:rPr>
                  </w:pPr>
                  <w:r>
                    <w:rPr>
                      <w:sz w:val="21"/>
                      <w:szCs w:val="21"/>
                    </w:rPr>
                    <w:t>东厂界</w:t>
                  </w:r>
                </w:p>
              </w:tc>
              <w:tc>
                <w:tcPr>
                  <w:tcW w:w="1843" w:type="dxa"/>
                  <w:vAlign w:val="center"/>
                </w:tcPr>
                <w:p>
                  <w:pPr>
                    <w:spacing w:line="320" w:lineRule="exact"/>
                    <w:ind w:firstLine="0" w:firstLineChars="0"/>
                    <w:jc w:val="center"/>
                    <w:rPr>
                      <w:sz w:val="21"/>
                      <w:szCs w:val="21"/>
                    </w:rPr>
                  </w:pPr>
                  <w:r>
                    <w:rPr>
                      <w:rFonts w:hint="eastAsia"/>
                      <w:sz w:val="21"/>
                      <w:szCs w:val="21"/>
                    </w:rPr>
                    <w:t>54.4</w:t>
                  </w:r>
                  <w:r>
                    <w:rPr>
                      <w:sz w:val="21"/>
                      <w:szCs w:val="21"/>
                    </w:rPr>
                    <w:t>~</w:t>
                  </w:r>
                  <w:r>
                    <w:rPr>
                      <w:rFonts w:hint="eastAsia"/>
                      <w:sz w:val="21"/>
                      <w:szCs w:val="21"/>
                    </w:rPr>
                    <w:t>55.8</w:t>
                  </w:r>
                </w:p>
              </w:tc>
              <w:tc>
                <w:tcPr>
                  <w:tcW w:w="1984" w:type="dxa"/>
                  <w:vAlign w:val="center"/>
                </w:tcPr>
                <w:p>
                  <w:pPr>
                    <w:spacing w:line="320" w:lineRule="exact"/>
                    <w:ind w:firstLine="0" w:firstLineChars="0"/>
                    <w:jc w:val="center"/>
                    <w:rPr>
                      <w:sz w:val="21"/>
                      <w:szCs w:val="21"/>
                    </w:rPr>
                  </w:pPr>
                  <w:r>
                    <w:rPr>
                      <w:rFonts w:hint="eastAsia"/>
                      <w:sz w:val="21"/>
                      <w:szCs w:val="21"/>
                    </w:rPr>
                    <w:t>45.2</w:t>
                  </w:r>
                  <w:r>
                    <w:rPr>
                      <w:sz w:val="21"/>
                      <w:szCs w:val="21"/>
                    </w:rPr>
                    <w:t>~4</w:t>
                  </w:r>
                  <w:r>
                    <w:rPr>
                      <w:rFonts w:hint="eastAsia"/>
                      <w:sz w:val="21"/>
                      <w:szCs w:val="21"/>
                    </w:rPr>
                    <w:t>6.6</w:t>
                  </w:r>
                </w:p>
              </w:tc>
              <w:tc>
                <w:tcPr>
                  <w:tcW w:w="2892" w:type="dxa"/>
                  <w:vMerge w:val="continue"/>
                  <w:vAlign w:val="center"/>
                </w:tcPr>
                <w:p>
                  <w:pPr>
                    <w:widowControl/>
                    <w:ind w:firstLine="420"/>
                    <w:rPr>
                      <w:sz w:val="21"/>
                      <w:szCs w:val="21"/>
                    </w:rPr>
                  </w:pPr>
                </w:p>
              </w:tc>
            </w:tr>
          </w:tbl>
          <w:p>
            <w:pPr>
              <w:widowControl/>
              <w:ind w:firstLine="480"/>
            </w:pPr>
            <w:r>
              <w:t>从上表可知，项目区四周现状噪声均能够满足《声环境质量标准》（GB3096-2008）2类标准限值要求，区域声环境质量现状较好。</w:t>
            </w:r>
          </w:p>
          <w:p>
            <w:pPr>
              <w:ind w:firstLine="0" w:firstLineChars="0"/>
              <w:jc w:val="both"/>
              <w:outlineLvl w:val="0"/>
              <w:rPr>
                <w:b/>
                <w:bCs/>
              </w:rPr>
            </w:pPr>
            <w:r>
              <w:rPr>
                <w:b/>
                <w:bCs/>
              </w:rPr>
              <w:t>4、生态环境质量现状</w:t>
            </w:r>
          </w:p>
          <w:p>
            <w:pPr>
              <w:widowControl/>
              <w:ind w:firstLine="480"/>
            </w:pPr>
            <w:r>
              <w:t>评价范围内现状主要为工厂和道路，人为活动频繁，天然动植物种类少，技改的种类中多为人工种植，区域生态环境为城市人工生态环境。经现场调查，项目沿线区域500m内范围内无重点保护的野生动物。</w:t>
            </w:r>
          </w:p>
          <w:p>
            <w:pPr>
              <w:ind w:firstLine="0" w:firstLineChars="0"/>
              <w:jc w:val="both"/>
              <w:outlineLvl w:val="0"/>
              <w:rPr>
                <w:b/>
                <w:bCs/>
              </w:rPr>
            </w:pPr>
            <w:r>
              <w:rPr>
                <w:rFonts w:hint="eastAsia"/>
                <w:b/>
                <w:bCs/>
              </w:rPr>
              <w:t>5、</w:t>
            </w:r>
            <w:r>
              <w:rPr>
                <w:b/>
                <w:bCs/>
              </w:rPr>
              <w:t>土壤质量</w:t>
            </w:r>
          </w:p>
          <w:p>
            <w:pPr>
              <w:widowControl/>
              <w:ind w:firstLine="480"/>
            </w:pPr>
            <w:r>
              <w:t>本次土壤现状评价因子现状监测数据委托</w:t>
            </w:r>
            <w:r>
              <w:rPr>
                <w:rFonts w:hint="eastAsia"/>
              </w:rPr>
              <w:t>河南中天云测检测技术有限公司</w:t>
            </w:r>
            <w:r>
              <w:t>于2020年3月13日进行监测，本项目在厂区</w:t>
            </w:r>
            <w:r>
              <w:rPr>
                <w:rFonts w:hint="eastAsia"/>
              </w:rPr>
              <w:t>西侧</w:t>
            </w:r>
            <w:r>
              <w:t>、</w:t>
            </w:r>
            <w:r>
              <w:rPr>
                <w:rFonts w:hint="eastAsia"/>
              </w:rPr>
              <w:t>厂区内</w:t>
            </w:r>
            <w:r>
              <w:t>设置1个监测点位。本次评价现状监测数据见下表。</w:t>
            </w:r>
          </w:p>
          <w:p>
            <w:pPr>
              <w:pStyle w:val="7"/>
              <w:rPr>
                <w:b/>
                <w:kern w:val="44"/>
                <w:sz w:val="32"/>
              </w:rPr>
            </w:pPr>
            <w:r>
              <w:rPr>
                <w:b/>
                <w:bCs/>
              </w:rPr>
              <w:t xml:space="preserve">土壤环境现状监测结果统计表  </w:t>
            </w:r>
            <w:r>
              <w:rPr>
                <w:b/>
                <w:kern w:val="44"/>
                <w:sz w:val="32"/>
              </w:rPr>
              <w:t xml:space="preserve">  </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28" w:type="dxa"/>
                <w:left w:w="108" w:type="dxa"/>
                <w:bottom w:w="28" w:type="dxa"/>
                <w:right w:w="108" w:type="dxa"/>
              </w:tblCellMar>
            </w:tblPr>
            <w:tblGrid>
              <w:gridCol w:w="2292"/>
              <w:gridCol w:w="2136"/>
              <w:gridCol w:w="2136"/>
              <w:gridCol w:w="21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20" w:hRule="atLeast"/>
                <w:tblHeader/>
                <w:jc w:val="center"/>
              </w:trPr>
              <w:tc>
                <w:tcPr>
                  <w:tcW w:w="1250" w:type="pct"/>
                  <w:tcBorders>
                    <w:top w:val="single" w:color="auto" w:sz="12"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检测点位</w:t>
                  </w:r>
                </w:p>
              </w:tc>
              <w:tc>
                <w:tcPr>
                  <w:tcW w:w="1250" w:type="pct"/>
                  <w:tcBorders>
                    <w:top w:val="single" w:color="auto" w:sz="12"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项目</w:t>
                  </w:r>
                </w:p>
              </w:tc>
              <w:tc>
                <w:tcPr>
                  <w:tcW w:w="1250" w:type="pct"/>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单位</w:t>
                  </w:r>
                </w:p>
              </w:tc>
              <w:tc>
                <w:tcPr>
                  <w:tcW w:w="1250" w:type="pct"/>
                  <w:tcBorders>
                    <w:top w:val="single" w:color="auto" w:sz="12" w:space="0"/>
                    <w:left w:val="single" w:color="auto" w:sz="4" w:space="0"/>
                    <w:bottom w:val="single" w:color="auto" w:sz="4" w:space="0"/>
                    <w:right w:val="single" w:color="auto" w:sz="12"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检测结果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restar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1#厂址外西侧 50m（20cm）（E114°35′50.5″，N35°05′24.7″）</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p</w:t>
                  </w:r>
                  <w:r>
                    <w:rPr>
                      <w:b/>
                      <w:sz w:val="21"/>
                      <w:szCs w:val="21"/>
                      <w:u w:val="single"/>
                    </w:rPr>
                    <w:t>H</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无量纲</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8</w:t>
                  </w:r>
                  <w:r>
                    <w:rPr>
                      <w:b/>
                      <w:sz w:val="21"/>
                      <w:szCs w:val="21"/>
                      <w:u w:val="single"/>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镉</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铬（六价）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铜</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3</w:t>
                  </w:r>
                  <w:r>
                    <w:rPr>
                      <w:b/>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铅</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汞</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镍</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四氯化碳</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氯仿</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氯甲烷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1,1-二氯乙烷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1,2-二氯乙烷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1,1-二氯乙烯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顺式-1,2-二氯乙烯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反式-1,2-二氯乙烯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二氯甲烷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1,2-二氯丙烷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1,1,1,2-四氯乙烷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1,1,2,2-四氯乙烷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四氯乙烯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1,1,1-三氯乙烷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1,1,2-三氯乙烷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三氯乙烯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1,2,3-三氯丙烷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氯苯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0.0011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1,2-二氯苯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1,4-二氯苯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乙苯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甲苯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间二甲苯+对二甲苯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邻二甲苯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硝基苯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苯胺</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2-氯酚</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苯并[a]蒽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苯并[a]芘</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苯并[b]荧蒽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苯并[k]荧蒽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䓛</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二苯并[a,h]蒽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茚并[1,2,3-cd]芘</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萘</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石油烃（C10-C40）</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2</w:t>
                  </w:r>
                  <w:r>
                    <w:rPr>
                      <w:b/>
                      <w:sz w:val="21"/>
                      <w:szCs w:val="21"/>
                      <w:u w:val="singl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restar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2#厂区内（20cm） （E114°35′56.6″，N35°05′23.5″</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p</w:t>
                  </w:r>
                  <w:r>
                    <w:rPr>
                      <w:b/>
                      <w:sz w:val="21"/>
                      <w:szCs w:val="21"/>
                      <w:u w:val="single"/>
                    </w:rPr>
                    <w:t>H</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无量纲</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8</w:t>
                  </w:r>
                  <w:r>
                    <w:rPr>
                      <w:b/>
                      <w:sz w:val="21"/>
                      <w:szCs w:val="21"/>
                      <w:u w:val="single"/>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镉</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铬（六价）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铜</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3</w:t>
                  </w:r>
                  <w:r>
                    <w:rPr>
                      <w:b/>
                      <w:sz w:val="21"/>
                      <w:szCs w:val="21"/>
                      <w:u w:val="single"/>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铅</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汞</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镍</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四氯化碳</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氯仿</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氯甲烷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1,1-二氯乙烷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1,2-二氯乙烷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1,1-二氯乙烯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顺式-1,2-二氯乙烯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反式-1,2-二氯乙烯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二氯甲烷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1,2-二氯丙烷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1,1,1,2-四氯乙烷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1,1,2,2-四氯乙烷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四氯乙烯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1,1,1-三氯乙烷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1,1,2-三氯乙烷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三氯乙烯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1,2,3-三氯丙烷</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氯苯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1,2-二氯苯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1,4-二氯苯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乙苯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苯乙烯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甲苯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间二甲苯+对二甲苯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邻二甲苯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硝基苯</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苯胺</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2-氯酚</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苯并[a]蒽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苯并[a]芘</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苯并[b]荧蒽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苯并[k]荧蒽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䓛</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二苯并[a,h]蒽</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茚并[1,2,3-cd]芘</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萘</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250" w:type="pct"/>
                  <w:vMerge w:val="continue"/>
                  <w:vAlign w:val="center"/>
                </w:tcPr>
                <w:p>
                  <w:pPr>
                    <w:adjustRightInd w:val="0"/>
                    <w:snapToGrid w:val="0"/>
                    <w:spacing w:line="240" w:lineRule="auto"/>
                    <w:ind w:firstLine="0" w:firstLineChars="0"/>
                    <w:jc w:val="center"/>
                    <w:rPr>
                      <w:b/>
                      <w:sz w:val="21"/>
                      <w:szCs w:val="21"/>
                      <w:u w:val="single"/>
                    </w:rPr>
                  </w:pP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石油烃（C10-C40）</w:t>
                  </w:r>
                </w:p>
              </w:tc>
              <w:tc>
                <w:tcPr>
                  <w:tcW w:w="1250" w:type="pct"/>
                  <w:vAlign w:val="center"/>
                </w:tcPr>
                <w:p>
                  <w:pPr>
                    <w:adjustRightInd w:val="0"/>
                    <w:snapToGrid w:val="0"/>
                    <w:spacing w:line="240" w:lineRule="auto"/>
                    <w:ind w:firstLine="0" w:firstLineChars="0"/>
                    <w:jc w:val="center"/>
                    <w:rPr>
                      <w:b/>
                      <w:sz w:val="21"/>
                      <w:szCs w:val="21"/>
                      <w:u w:val="single"/>
                    </w:rPr>
                  </w:pPr>
                  <w:r>
                    <w:rPr>
                      <w:b/>
                      <w:sz w:val="21"/>
                      <w:szCs w:val="21"/>
                      <w:u w:val="single"/>
                    </w:rPr>
                    <w:t>mg/kg</w:t>
                  </w:r>
                </w:p>
              </w:tc>
              <w:tc>
                <w:tcPr>
                  <w:tcW w:w="1250" w:type="pct"/>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2</w:t>
                  </w:r>
                  <w:r>
                    <w:rPr>
                      <w:b/>
                      <w:sz w:val="21"/>
                      <w:szCs w:val="21"/>
                      <w:u w:val="single"/>
                    </w:rPr>
                    <w:t>6</w:t>
                  </w:r>
                </w:p>
              </w:tc>
            </w:tr>
          </w:tbl>
          <w:p>
            <w:pPr>
              <w:widowControl/>
              <w:ind w:firstLine="482"/>
              <w:rPr>
                <w:b/>
                <w:u w:val="single"/>
              </w:rPr>
            </w:pPr>
            <w:r>
              <w:rPr>
                <w:rFonts w:hint="eastAsia"/>
                <w:b/>
                <w:u w:val="single"/>
              </w:rPr>
              <w:t>由上表可知，</w:t>
            </w:r>
            <w:r>
              <w:rPr>
                <w:b/>
                <w:u w:val="single"/>
              </w:rPr>
              <w:t>项目区</w:t>
            </w:r>
            <w:r>
              <w:rPr>
                <w:rFonts w:hint="eastAsia"/>
                <w:b/>
                <w:u w:val="single"/>
              </w:rPr>
              <w:t>厂区土壤</w:t>
            </w:r>
            <w:r>
              <w:rPr>
                <w:b/>
                <w:u w:val="single"/>
              </w:rPr>
              <w:t>均能够满足《土壤环境质量 建设用地土壤污染风险管控标准》（GB36600-2018）表1标准标准限值要求，区域</w:t>
            </w:r>
            <w:r>
              <w:rPr>
                <w:rFonts w:hint="eastAsia"/>
                <w:b/>
                <w:u w:val="single"/>
              </w:rPr>
              <w:t>土壤</w:t>
            </w:r>
            <w:r>
              <w:rPr>
                <w:b/>
                <w:u w:val="single"/>
              </w:rPr>
              <w:t>质量现状较好。</w:t>
            </w:r>
          </w:p>
          <w:p>
            <w:pPr>
              <w:pStyle w:val="28"/>
              <w:ind w:firstLine="0" w:firstLineChars="0"/>
              <w:rPr>
                <w:rFonts w:cs="Times New Roman"/>
                <w:bCs/>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6" w:hRule="atLeast"/>
        </w:trPr>
        <w:tc>
          <w:tcPr>
            <w:tcW w:w="8946" w:type="dxa"/>
            <w:gridSpan w:val="2"/>
            <w:tcBorders>
              <w:top w:val="single" w:color="auto" w:sz="12" w:space="0"/>
              <w:bottom w:val="single" w:color="auto" w:sz="12" w:space="0"/>
            </w:tcBorders>
          </w:tcPr>
          <w:p>
            <w:pPr>
              <w:spacing w:line="360" w:lineRule="auto"/>
              <w:ind w:firstLine="0" w:firstLineChars="0"/>
              <w:rPr>
                <w:b/>
                <w:bCs/>
                <w:sz w:val="28"/>
              </w:rPr>
            </w:pPr>
            <w:r>
              <w:rPr>
                <w:rFonts w:hint="eastAsia"/>
                <w:b/>
                <w:bCs/>
                <w:sz w:val="28"/>
              </w:rPr>
              <w:t>主要环境保护目标(列出名单及保护级别)：</w:t>
            </w:r>
          </w:p>
          <w:p>
            <w:pPr>
              <w:widowControl/>
              <w:ind w:firstLine="480"/>
            </w:pPr>
            <w:r>
              <w:t>据现场调查情况，本工程周围环境保护目标和保护级别见表。</w:t>
            </w:r>
          </w:p>
          <w:p>
            <w:pPr>
              <w:pStyle w:val="7"/>
              <w:rPr>
                <w:b/>
                <w:bCs/>
              </w:rPr>
            </w:pPr>
            <w:r>
              <w:rPr>
                <w:b/>
                <w:bCs/>
              </w:rPr>
              <w:t xml:space="preserve">   环境保护目标一览表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1134"/>
              <w:gridCol w:w="1560"/>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140" w:type="dxa"/>
                  <w:tcMar>
                    <w:top w:w="85" w:type="dxa"/>
                    <w:bottom w:w="85" w:type="dxa"/>
                  </w:tcMar>
                  <w:vAlign w:val="center"/>
                </w:tcPr>
                <w:p>
                  <w:pPr>
                    <w:pStyle w:val="5"/>
                    <w:snapToGrid w:val="0"/>
                    <w:spacing w:line="240" w:lineRule="auto"/>
                    <w:ind w:firstLine="0" w:firstLineChars="0"/>
                    <w:jc w:val="center"/>
                    <w:rPr>
                      <w:sz w:val="21"/>
                      <w:szCs w:val="21"/>
                    </w:rPr>
                  </w:pPr>
                  <w:r>
                    <w:rPr>
                      <w:sz w:val="21"/>
                      <w:szCs w:val="21"/>
                    </w:rPr>
                    <w:t>环境类别</w:t>
                  </w:r>
                </w:p>
              </w:tc>
              <w:tc>
                <w:tcPr>
                  <w:tcW w:w="1134" w:type="dxa"/>
                  <w:tcMar>
                    <w:top w:w="85" w:type="dxa"/>
                    <w:bottom w:w="85" w:type="dxa"/>
                  </w:tcMar>
                  <w:vAlign w:val="center"/>
                </w:tcPr>
                <w:p>
                  <w:pPr>
                    <w:pStyle w:val="5"/>
                    <w:snapToGrid w:val="0"/>
                    <w:spacing w:line="240" w:lineRule="auto"/>
                    <w:ind w:firstLine="0" w:firstLineChars="0"/>
                    <w:jc w:val="center"/>
                    <w:rPr>
                      <w:sz w:val="21"/>
                      <w:szCs w:val="21"/>
                    </w:rPr>
                  </w:pPr>
                  <w:r>
                    <w:rPr>
                      <w:sz w:val="21"/>
                      <w:szCs w:val="21"/>
                    </w:rPr>
                    <w:t>保护目标</w:t>
                  </w:r>
                </w:p>
              </w:tc>
              <w:tc>
                <w:tcPr>
                  <w:tcW w:w="1560" w:type="dxa"/>
                  <w:tcMar>
                    <w:top w:w="85" w:type="dxa"/>
                    <w:bottom w:w="85" w:type="dxa"/>
                  </w:tcMar>
                  <w:vAlign w:val="center"/>
                </w:tcPr>
                <w:p>
                  <w:pPr>
                    <w:pStyle w:val="5"/>
                    <w:snapToGrid w:val="0"/>
                    <w:spacing w:line="240" w:lineRule="auto"/>
                    <w:ind w:firstLine="0" w:firstLineChars="0"/>
                    <w:jc w:val="center"/>
                    <w:rPr>
                      <w:sz w:val="21"/>
                      <w:szCs w:val="21"/>
                    </w:rPr>
                  </w:pPr>
                  <w:r>
                    <w:rPr>
                      <w:sz w:val="21"/>
                      <w:szCs w:val="21"/>
                    </w:rPr>
                    <w:t>方位及距离</w:t>
                  </w:r>
                </w:p>
              </w:tc>
              <w:tc>
                <w:tcPr>
                  <w:tcW w:w="4886" w:type="dxa"/>
                  <w:tcMar>
                    <w:top w:w="85" w:type="dxa"/>
                    <w:bottom w:w="85" w:type="dxa"/>
                  </w:tcMar>
                  <w:vAlign w:val="center"/>
                </w:tcPr>
                <w:p>
                  <w:pPr>
                    <w:pStyle w:val="5"/>
                    <w:snapToGrid w:val="0"/>
                    <w:spacing w:line="240" w:lineRule="auto"/>
                    <w:ind w:firstLine="0" w:firstLineChars="0"/>
                    <w:jc w:val="center"/>
                    <w:rPr>
                      <w:sz w:val="21"/>
                      <w:szCs w:val="21"/>
                    </w:rPr>
                  </w:pPr>
                  <w:r>
                    <w:rPr>
                      <w:sz w:val="21"/>
                      <w:szCs w:val="21"/>
                    </w:rPr>
                    <w:t>保  护  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140" w:type="dxa"/>
                  <w:tcMar>
                    <w:top w:w="85" w:type="dxa"/>
                    <w:bottom w:w="85" w:type="dxa"/>
                  </w:tcMar>
                  <w:vAlign w:val="center"/>
                </w:tcPr>
                <w:p>
                  <w:pPr>
                    <w:pStyle w:val="5"/>
                    <w:snapToGrid w:val="0"/>
                    <w:spacing w:line="240" w:lineRule="auto"/>
                    <w:ind w:firstLine="0" w:firstLineChars="0"/>
                    <w:jc w:val="center"/>
                    <w:rPr>
                      <w:bCs/>
                      <w:sz w:val="21"/>
                      <w:szCs w:val="21"/>
                    </w:rPr>
                  </w:pPr>
                  <w:r>
                    <w:rPr>
                      <w:bCs/>
                      <w:sz w:val="21"/>
                      <w:szCs w:val="21"/>
                    </w:rPr>
                    <w:t>大气环境</w:t>
                  </w:r>
                </w:p>
              </w:tc>
              <w:tc>
                <w:tcPr>
                  <w:tcW w:w="1134" w:type="dxa"/>
                  <w:tcMar>
                    <w:top w:w="85" w:type="dxa"/>
                    <w:bottom w:w="85" w:type="dxa"/>
                  </w:tcMar>
                  <w:vAlign w:val="center"/>
                </w:tcPr>
                <w:p>
                  <w:pPr>
                    <w:spacing w:line="240" w:lineRule="auto"/>
                    <w:ind w:firstLine="0" w:firstLineChars="0"/>
                    <w:jc w:val="center"/>
                    <w:rPr>
                      <w:sz w:val="21"/>
                      <w:szCs w:val="21"/>
                    </w:rPr>
                  </w:pPr>
                  <w:r>
                    <w:rPr>
                      <w:rFonts w:hint="eastAsia"/>
                      <w:sz w:val="21"/>
                      <w:szCs w:val="21"/>
                    </w:rPr>
                    <w:t>马村</w:t>
                  </w:r>
                </w:p>
              </w:tc>
              <w:tc>
                <w:tcPr>
                  <w:tcW w:w="1560" w:type="dxa"/>
                  <w:tcMar>
                    <w:top w:w="85" w:type="dxa"/>
                    <w:bottom w:w="85" w:type="dxa"/>
                  </w:tcMar>
                  <w:vAlign w:val="center"/>
                </w:tcPr>
                <w:p>
                  <w:pPr>
                    <w:spacing w:line="240" w:lineRule="auto"/>
                    <w:ind w:firstLine="0" w:firstLineChars="0"/>
                    <w:jc w:val="center"/>
                    <w:rPr>
                      <w:sz w:val="21"/>
                      <w:szCs w:val="21"/>
                    </w:rPr>
                  </w:pPr>
                  <w:r>
                    <w:rPr>
                      <w:rFonts w:hint="eastAsia"/>
                      <w:sz w:val="21"/>
                      <w:szCs w:val="21"/>
                    </w:rPr>
                    <w:t>N</w:t>
                  </w:r>
                  <w:r>
                    <w:rPr>
                      <w:sz w:val="21"/>
                      <w:szCs w:val="21"/>
                    </w:rPr>
                    <w:t>E</w:t>
                  </w:r>
                  <w:r>
                    <w:rPr>
                      <w:rFonts w:hint="eastAsia"/>
                      <w:sz w:val="21"/>
                      <w:szCs w:val="21"/>
                    </w:rPr>
                    <w:t>7</w:t>
                  </w:r>
                  <w:r>
                    <w:rPr>
                      <w:sz w:val="21"/>
                      <w:szCs w:val="21"/>
                    </w:rPr>
                    <w:t>00</w:t>
                  </w:r>
                  <w:r>
                    <w:rPr>
                      <w:rFonts w:hint="eastAsia"/>
                      <w:sz w:val="21"/>
                      <w:szCs w:val="21"/>
                    </w:rPr>
                    <w:t>m</w:t>
                  </w:r>
                </w:p>
              </w:tc>
              <w:tc>
                <w:tcPr>
                  <w:tcW w:w="4886" w:type="dxa"/>
                  <w:tcMar>
                    <w:top w:w="85" w:type="dxa"/>
                    <w:bottom w:w="85" w:type="dxa"/>
                  </w:tcMar>
                  <w:vAlign w:val="center"/>
                </w:tcPr>
                <w:p>
                  <w:pPr>
                    <w:pStyle w:val="5"/>
                    <w:snapToGrid w:val="0"/>
                    <w:spacing w:line="240" w:lineRule="auto"/>
                    <w:ind w:firstLine="0" w:firstLineChars="0"/>
                    <w:jc w:val="center"/>
                    <w:rPr>
                      <w:bCs/>
                      <w:sz w:val="21"/>
                      <w:szCs w:val="21"/>
                    </w:rPr>
                  </w:pPr>
                  <w:r>
                    <w:rPr>
                      <w:sz w:val="21"/>
                      <w:szCs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140" w:type="dxa"/>
                  <w:tcMar>
                    <w:top w:w="85" w:type="dxa"/>
                    <w:bottom w:w="85" w:type="dxa"/>
                  </w:tcMar>
                  <w:vAlign w:val="center"/>
                </w:tcPr>
                <w:p>
                  <w:pPr>
                    <w:pStyle w:val="5"/>
                    <w:snapToGrid w:val="0"/>
                    <w:spacing w:line="240" w:lineRule="auto"/>
                    <w:ind w:firstLine="0" w:firstLineChars="0"/>
                    <w:jc w:val="center"/>
                    <w:rPr>
                      <w:bCs/>
                      <w:sz w:val="21"/>
                      <w:szCs w:val="21"/>
                    </w:rPr>
                  </w:pPr>
                  <w:r>
                    <w:rPr>
                      <w:bCs/>
                      <w:sz w:val="21"/>
                      <w:szCs w:val="21"/>
                    </w:rPr>
                    <w:t>声环境</w:t>
                  </w:r>
                </w:p>
              </w:tc>
              <w:tc>
                <w:tcPr>
                  <w:tcW w:w="1134" w:type="dxa"/>
                  <w:tcMar>
                    <w:top w:w="85" w:type="dxa"/>
                    <w:bottom w:w="85" w:type="dxa"/>
                  </w:tcMar>
                  <w:vAlign w:val="center"/>
                </w:tcPr>
                <w:p>
                  <w:pPr>
                    <w:pStyle w:val="5"/>
                    <w:snapToGrid w:val="0"/>
                    <w:spacing w:line="240" w:lineRule="auto"/>
                    <w:ind w:firstLine="0" w:firstLineChars="0"/>
                    <w:jc w:val="center"/>
                    <w:rPr>
                      <w:bCs/>
                      <w:sz w:val="21"/>
                      <w:szCs w:val="21"/>
                    </w:rPr>
                  </w:pPr>
                  <w:r>
                    <w:rPr>
                      <w:bCs/>
                      <w:sz w:val="21"/>
                      <w:szCs w:val="21"/>
                    </w:rPr>
                    <w:t>厂界四周</w:t>
                  </w:r>
                </w:p>
              </w:tc>
              <w:tc>
                <w:tcPr>
                  <w:tcW w:w="1560" w:type="dxa"/>
                  <w:tcMar>
                    <w:top w:w="85" w:type="dxa"/>
                    <w:bottom w:w="85" w:type="dxa"/>
                  </w:tcMar>
                  <w:vAlign w:val="center"/>
                </w:tcPr>
                <w:p>
                  <w:pPr>
                    <w:pStyle w:val="5"/>
                    <w:snapToGrid w:val="0"/>
                    <w:spacing w:line="240" w:lineRule="auto"/>
                    <w:ind w:firstLine="0" w:firstLineChars="0"/>
                    <w:jc w:val="center"/>
                    <w:rPr>
                      <w:bCs/>
                      <w:sz w:val="21"/>
                      <w:szCs w:val="21"/>
                    </w:rPr>
                  </w:pPr>
                  <w:r>
                    <w:rPr>
                      <w:bCs/>
                      <w:sz w:val="21"/>
                      <w:szCs w:val="21"/>
                    </w:rPr>
                    <w:t>/</w:t>
                  </w:r>
                </w:p>
              </w:tc>
              <w:tc>
                <w:tcPr>
                  <w:tcW w:w="4886" w:type="dxa"/>
                  <w:tcMar>
                    <w:top w:w="85" w:type="dxa"/>
                    <w:bottom w:w="85" w:type="dxa"/>
                  </w:tcMar>
                  <w:vAlign w:val="center"/>
                </w:tcPr>
                <w:p>
                  <w:pPr>
                    <w:pStyle w:val="5"/>
                    <w:snapToGrid w:val="0"/>
                    <w:spacing w:line="240" w:lineRule="auto"/>
                    <w:ind w:firstLine="0" w:firstLineChars="0"/>
                    <w:jc w:val="center"/>
                    <w:rPr>
                      <w:sz w:val="21"/>
                      <w:szCs w:val="21"/>
                    </w:rPr>
                  </w:pPr>
                  <w:r>
                    <w:rPr>
                      <w:sz w:val="21"/>
                      <w:szCs w:val="21"/>
                    </w:rPr>
                    <w:t>《声环境质量标准》</w:t>
                  </w:r>
                  <w:r>
                    <w:rPr>
                      <w:rFonts w:hint="eastAsia"/>
                      <w:sz w:val="21"/>
                      <w:szCs w:val="21"/>
                    </w:rPr>
                    <w:t>（</w:t>
                  </w:r>
                  <w:r>
                    <w:rPr>
                      <w:sz w:val="21"/>
                      <w:szCs w:val="21"/>
                    </w:rPr>
                    <w:t>GB3096-2008</w:t>
                  </w:r>
                  <w:r>
                    <w:rPr>
                      <w:rFonts w:hint="eastAsia"/>
                      <w:sz w:val="21"/>
                      <w:szCs w:val="21"/>
                    </w:rPr>
                    <w:t>）2</w:t>
                  </w:r>
                  <w:r>
                    <w:rPr>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140" w:type="dxa"/>
                  <w:tcMar>
                    <w:top w:w="85" w:type="dxa"/>
                    <w:bottom w:w="85" w:type="dxa"/>
                  </w:tcMar>
                  <w:vAlign w:val="center"/>
                </w:tcPr>
                <w:p>
                  <w:pPr>
                    <w:pStyle w:val="5"/>
                    <w:snapToGrid w:val="0"/>
                    <w:spacing w:line="240" w:lineRule="auto"/>
                    <w:ind w:firstLine="0" w:firstLineChars="0"/>
                    <w:jc w:val="center"/>
                    <w:rPr>
                      <w:bCs/>
                      <w:sz w:val="21"/>
                      <w:szCs w:val="21"/>
                    </w:rPr>
                  </w:pPr>
                  <w:r>
                    <w:rPr>
                      <w:bCs/>
                      <w:sz w:val="21"/>
                      <w:szCs w:val="21"/>
                    </w:rPr>
                    <w:t>水环境</w:t>
                  </w:r>
                </w:p>
              </w:tc>
              <w:tc>
                <w:tcPr>
                  <w:tcW w:w="1134" w:type="dxa"/>
                  <w:tcMar>
                    <w:top w:w="85" w:type="dxa"/>
                    <w:bottom w:w="85" w:type="dxa"/>
                  </w:tcMar>
                  <w:vAlign w:val="center"/>
                </w:tcPr>
                <w:p>
                  <w:pPr>
                    <w:pStyle w:val="5"/>
                    <w:snapToGrid w:val="0"/>
                    <w:spacing w:line="240" w:lineRule="auto"/>
                    <w:ind w:firstLine="0" w:firstLineChars="0"/>
                    <w:jc w:val="center"/>
                    <w:rPr>
                      <w:bCs/>
                      <w:sz w:val="21"/>
                      <w:szCs w:val="21"/>
                    </w:rPr>
                  </w:pPr>
                  <w:r>
                    <w:rPr>
                      <w:rFonts w:hint="eastAsia"/>
                      <w:bCs/>
                      <w:sz w:val="21"/>
                      <w:szCs w:val="21"/>
                    </w:rPr>
                    <w:t>林庄排</w:t>
                  </w:r>
                </w:p>
              </w:tc>
              <w:tc>
                <w:tcPr>
                  <w:tcW w:w="1560" w:type="dxa"/>
                  <w:tcMar>
                    <w:top w:w="85" w:type="dxa"/>
                    <w:bottom w:w="85" w:type="dxa"/>
                  </w:tcMar>
                  <w:vAlign w:val="center"/>
                </w:tcPr>
                <w:p>
                  <w:pPr>
                    <w:pStyle w:val="5"/>
                    <w:snapToGrid w:val="0"/>
                    <w:spacing w:line="240" w:lineRule="auto"/>
                    <w:ind w:firstLine="0" w:firstLineChars="0"/>
                    <w:jc w:val="center"/>
                    <w:rPr>
                      <w:bCs/>
                      <w:sz w:val="21"/>
                      <w:szCs w:val="21"/>
                    </w:rPr>
                  </w:pPr>
                  <w:r>
                    <w:rPr>
                      <w:rFonts w:hint="eastAsia"/>
                      <w:bCs/>
                      <w:sz w:val="21"/>
                      <w:szCs w:val="21"/>
                    </w:rPr>
                    <w:t>E 1.1k</w:t>
                  </w:r>
                  <w:r>
                    <w:rPr>
                      <w:bCs/>
                      <w:sz w:val="21"/>
                      <w:szCs w:val="21"/>
                    </w:rPr>
                    <w:t>m</w:t>
                  </w:r>
                </w:p>
              </w:tc>
              <w:tc>
                <w:tcPr>
                  <w:tcW w:w="4886" w:type="dxa"/>
                  <w:tcMar>
                    <w:top w:w="85" w:type="dxa"/>
                    <w:bottom w:w="85" w:type="dxa"/>
                  </w:tcMar>
                  <w:vAlign w:val="center"/>
                </w:tcPr>
                <w:p>
                  <w:pPr>
                    <w:pStyle w:val="5"/>
                    <w:snapToGrid w:val="0"/>
                    <w:spacing w:line="240" w:lineRule="auto"/>
                    <w:ind w:firstLine="0" w:firstLineChars="0"/>
                    <w:jc w:val="center"/>
                    <w:rPr>
                      <w:sz w:val="21"/>
                      <w:szCs w:val="21"/>
                    </w:rPr>
                  </w:pPr>
                  <w:r>
                    <w:rPr>
                      <w:sz w:val="21"/>
                      <w:szCs w:val="21"/>
                    </w:rPr>
                    <w:t>《地表水环境质量标准》</w:t>
                  </w:r>
                  <w:r>
                    <w:rPr>
                      <w:rFonts w:hint="eastAsia"/>
                      <w:bCs/>
                      <w:sz w:val="21"/>
                      <w:szCs w:val="21"/>
                    </w:rPr>
                    <w:t>（</w:t>
                  </w:r>
                  <w:r>
                    <w:rPr>
                      <w:bCs/>
                      <w:sz w:val="21"/>
                      <w:szCs w:val="21"/>
                    </w:rPr>
                    <w:t>GB3838-2002</w:t>
                  </w:r>
                  <w:r>
                    <w:rPr>
                      <w:rFonts w:hint="eastAsia"/>
                      <w:bCs/>
                      <w:sz w:val="21"/>
                      <w:szCs w:val="21"/>
                    </w:rPr>
                    <w:t>）V</w:t>
                  </w:r>
                  <w:r>
                    <w:rPr>
                      <w:sz w:val="21"/>
                      <w:szCs w:val="21"/>
                    </w:rPr>
                    <w:t>类</w:t>
                  </w:r>
                </w:p>
              </w:tc>
            </w:tr>
          </w:tbl>
          <w:p>
            <w:pPr>
              <w:pStyle w:val="2"/>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8" w:hRule="atLeast"/>
          <w:jc w:val="center"/>
        </w:trPr>
        <w:tc>
          <w:tcPr>
            <w:tcW w:w="792" w:type="dxa"/>
            <w:vMerge w:val="restart"/>
            <w:vAlign w:val="center"/>
          </w:tcPr>
          <w:p>
            <w:pPr>
              <w:adjustRightInd w:val="0"/>
              <w:snapToGrid w:val="0"/>
              <w:ind w:firstLine="0" w:firstLineChars="0"/>
              <w:jc w:val="center"/>
              <w:rPr>
                <w:rFonts w:eastAsia="黑体"/>
                <w:sz w:val="21"/>
                <w:szCs w:val="21"/>
                <w:highlight w:val="yellow"/>
              </w:rPr>
            </w:pPr>
            <w:r>
              <w:rPr>
                <w:b/>
                <w:bCs/>
                <w:sz w:val="21"/>
                <w:szCs w:val="21"/>
              </w:rPr>
              <w:t>环境质量标准</w:t>
            </w:r>
          </w:p>
        </w:tc>
        <w:tc>
          <w:tcPr>
            <w:tcW w:w="8154" w:type="dxa"/>
            <w:vAlign w:val="center"/>
          </w:tcPr>
          <w:p>
            <w:pPr>
              <w:adjustRightInd w:val="0"/>
              <w:snapToGrid w:val="0"/>
              <w:spacing w:before="156" w:beforeLines="50" w:line="360" w:lineRule="auto"/>
              <w:ind w:firstLine="0" w:firstLineChars="0"/>
              <w:rPr>
                <w:sz w:val="21"/>
                <w:szCs w:val="18"/>
              </w:rPr>
            </w:pPr>
            <w:r>
              <w:rPr>
                <w:sz w:val="21"/>
                <w:szCs w:val="18"/>
              </w:rPr>
              <w:t>1、《环境空气质量标准》（GB3095-2012）及2018修改单二级   单位：µg/m</w:t>
            </w:r>
            <w:r>
              <w:rPr>
                <w:sz w:val="21"/>
                <w:szCs w:val="18"/>
                <w:vertAlign w:val="superscript"/>
              </w:rPr>
              <w:t>3</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939"/>
              <w:gridCol w:w="939"/>
              <w:gridCol w:w="939"/>
              <w:gridCol w:w="939"/>
              <w:gridCol w:w="940"/>
              <w:gridCol w:w="940"/>
              <w:gridCol w:w="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pct"/>
                  <w:vAlign w:val="center"/>
                </w:tcPr>
                <w:p>
                  <w:pPr>
                    <w:adjustRightInd w:val="0"/>
                    <w:snapToGrid w:val="0"/>
                    <w:spacing w:line="240" w:lineRule="auto"/>
                    <w:ind w:firstLine="0" w:firstLineChars="0"/>
                    <w:jc w:val="center"/>
                    <w:rPr>
                      <w:bCs/>
                      <w:sz w:val="21"/>
                      <w:szCs w:val="21"/>
                    </w:rPr>
                  </w:pPr>
                  <w:r>
                    <w:rPr>
                      <w:bCs/>
                      <w:sz w:val="21"/>
                      <w:szCs w:val="21"/>
                    </w:rPr>
                    <w:t>污染物名称</w:t>
                  </w:r>
                </w:p>
              </w:tc>
              <w:tc>
                <w:tcPr>
                  <w:tcW w:w="594" w:type="pct"/>
                  <w:vAlign w:val="center"/>
                </w:tcPr>
                <w:p>
                  <w:pPr>
                    <w:adjustRightInd w:val="0"/>
                    <w:snapToGrid w:val="0"/>
                    <w:spacing w:line="240" w:lineRule="auto"/>
                    <w:ind w:firstLine="0" w:firstLineChars="0"/>
                    <w:jc w:val="center"/>
                    <w:rPr>
                      <w:bCs/>
                      <w:sz w:val="21"/>
                      <w:szCs w:val="21"/>
                    </w:rPr>
                  </w:pPr>
                  <w:r>
                    <w:rPr>
                      <w:bCs/>
                      <w:sz w:val="21"/>
                      <w:szCs w:val="21"/>
                    </w:rPr>
                    <w:t>SO</w:t>
                  </w:r>
                  <w:r>
                    <w:rPr>
                      <w:bCs/>
                      <w:sz w:val="21"/>
                      <w:szCs w:val="21"/>
                      <w:vertAlign w:val="subscript"/>
                    </w:rPr>
                    <w:t>2</w:t>
                  </w:r>
                </w:p>
              </w:tc>
              <w:tc>
                <w:tcPr>
                  <w:tcW w:w="594" w:type="pct"/>
                  <w:vAlign w:val="center"/>
                </w:tcPr>
                <w:p>
                  <w:pPr>
                    <w:adjustRightInd w:val="0"/>
                    <w:snapToGrid w:val="0"/>
                    <w:spacing w:line="240" w:lineRule="auto"/>
                    <w:ind w:firstLine="0" w:firstLineChars="0"/>
                    <w:jc w:val="center"/>
                    <w:rPr>
                      <w:bCs/>
                      <w:sz w:val="21"/>
                      <w:szCs w:val="21"/>
                    </w:rPr>
                  </w:pPr>
                  <w:r>
                    <w:rPr>
                      <w:bCs/>
                      <w:sz w:val="21"/>
                      <w:szCs w:val="21"/>
                    </w:rPr>
                    <w:t>NO</w:t>
                  </w:r>
                  <w:r>
                    <w:rPr>
                      <w:bCs/>
                      <w:sz w:val="21"/>
                      <w:szCs w:val="21"/>
                      <w:vertAlign w:val="subscript"/>
                    </w:rPr>
                    <w:t>2</w:t>
                  </w:r>
                </w:p>
              </w:tc>
              <w:tc>
                <w:tcPr>
                  <w:tcW w:w="594" w:type="pct"/>
                  <w:vAlign w:val="center"/>
                </w:tcPr>
                <w:p>
                  <w:pPr>
                    <w:adjustRightInd w:val="0"/>
                    <w:snapToGrid w:val="0"/>
                    <w:spacing w:line="240" w:lineRule="auto"/>
                    <w:ind w:firstLine="0" w:firstLineChars="0"/>
                    <w:jc w:val="center"/>
                    <w:rPr>
                      <w:bCs/>
                      <w:sz w:val="21"/>
                      <w:szCs w:val="21"/>
                    </w:rPr>
                  </w:pPr>
                  <w:r>
                    <w:rPr>
                      <w:bCs/>
                      <w:sz w:val="21"/>
                      <w:szCs w:val="21"/>
                    </w:rPr>
                    <w:t>PM</w:t>
                  </w:r>
                  <w:r>
                    <w:rPr>
                      <w:bCs/>
                      <w:sz w:val="21"/>
                      <w:szCs w:val="21"/>
                      <w:vertAlign w:val="subscript"/>
                    </w:rPr>
                    <w:t>10</w:t>
                  </w:r>
                </w:p>
              </w:tc>
              <w:tc>
                <w:tcPr>
                  <w:tcW w:w="594" w:type="pct"/>
                  <w:vAlign w:val="center"/>
                </w:tcPr>
                <w:p>
                  <w:pPr>
                    <w:adjustRightInd w:val="0"/>
                    <w:snapToGrid w:val="0"/>
                    <w:spacing w:line="240" w:lineRule="auto"/>
                    <w:ind w:firstLine="0" w:firstLineChars="0"/>
                    <w:jc w:val="center"/>
                    <w:rPr>
                      <w:bCs/>
                      <w:sz w:val="21"/>
                      <w:szCs w:val="21"/>
                    </w:rPr>
                  </w:pPr>
                  <w:r>
                    <w:rPr>
                      <w:bCs/>
                      <w:sz w:val="21"/>
                      <w:szCs w:val="21"/>
                    </w:rPr>
                    <w:t>PM</w:t>
                  </w:r>
                  <w:r>
                    <w:rPr>
                      <w:bCs/>
                      <w:sz w:val="21"/>
                      <w:szCs w:val="21"/>
                      <w:vertAlign w:val="subscript"/>
                    </w:rPr>
                    <w:t>2.5</w:t>
                  </w:r>
                </w:p>
              </w:tc>
              <w:tc>
                <w:tcPr>
                  <w:tcW w:w="594" w:type="pct"/>
                  <w:vAlign w:val="center"/>
                </w:tcPr>
                <w:p>
                  <w:pPr>
                    <w:adjustRightInd w:val="0"/>
                    <w:snapToGrid w:val="0"/>
                    <w:spacing w:line="240" w:lineRule="auto"/>
                    <w:ind w:firstLine="0" w:firstLineChars="0"/>
                    <w:jc w:val="center"/>
                    <w:rPr>
                      <w:bCs/>
                      <w:sz w:val="21"/>
                      <w:szCs w:val="21"/>
                    </w:rPr>
                  </w:pPr>
                  <w:r>
                    <w:rPr>
                      <w:bCs/>
                      <w:sz w:val="21"/>
                      <w:szCs w:val="21"/>
                    </w:rPr>
                    <w:t>CO</w:t>
                  </w:r>
                </w:p>
              </w:tc>
              <w:tc>
                <w:tcPr>
                  <w:tcW w:w="594" w:type="pct"/>
                  <w:vAlign w:val="center"/>
                </w:tcPr>
                <w:p>
                  <w:pPr>
                    <w:adjustRightInd w:val="0"/>
                    <w:snapToGrid w:val="0"/>
                    <w:spacing w:line="240" w:lineRule="auto"/>
                    <w:ind w:firstLine="0" w:firstLineChars="0"/>
                    <w:jc w:val="center"/>
                    <w:rPr>
                      <w:bCs/>
                      <w:sz w:val="21"/>
                      <w:szCs w:val="21"/>
                      <w:lang w:bidi="ar"/>
                    </w:rPr>
                  </w:pPr>
                  <w:r>
                    <w:rPr>
                      <w:bCs/>
                      <w:sz w:val="21"/>
                      <w:szCs w:val="21"/>
                    </w:rPr>
                    <w:t>O</w:t>
                  </w:r>
                  <w:r>
                    <w:rPr>
                      <w:bCs/>
                      <w:sz w:val="21"/>
                      <w:szCs w:val="21"/>
                      <w:vertAlign w:val="subscript"/>
                    </w:rPr>
                    <w:t>3</w:t>
                  </w:r>
                </w:p>
              </w:tc>
              <w:tc>
                <w:tcPr>
                  <w:tcW w:w="594" w:type="pct"/>
                  <w:vAlign w:val="center"/>
                </w:tcPr>
                <w:p>
                  <w:pPr>
                    <w:adjustRightInd w:val="0"/>
                    <w:snapToGrid w:val="0"/>
                    <w:spacing w:line="240" w:lineRule="auto"/>
                    <w:ind w:firstLine="0" w:firstLineChars="0"/>
                    <w:jc w:val="center"/>
                    <w:rPr>
                      <w:bCs/>
                      <w:sz w:val="21"/>
                      <w:szCs w:val="21"/>
                    </w:rPr>
                  </w:pPr>
                  <w:r>
                    <w:rPr>
                      <w:bCs/>
                      <w:sz w:val="21"/>
                      <w:szCs w:val="21"/>
                    </w:rPr>
                    <w:t>TSP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42" w:type="pct"/>
                  <w:vAlign w:val="center"/>
                </w:tcPr>
                <w:p>
                  <w:pPr>
                    <w:adjustRightInd w:val="0"/>
                    <w:snapToGrid w:val="0"/>
                    <w:spacing w:line="240" w:lineRule="auto"/>
                    <w:ind w:firstLine="0" w:firstLineChars="0"/>
                    <w:jc w:val="center"/>
                    <w:rPr>
                      <w:sz w:val="21"/>
                      <w:szCs w:val="21"/>
                    </w:rPr>
                  </w:pPr>
                  <w:r>
                    <w:rPr>
                      <w:sz w:val="21"/>
                      <w:szCs w:val="21"/>
                    </w:rPr>
                    <w:t>年平均</w:t>
                  </w:r>
                </w:p>
              </w:tc>
              <w:tc>
                <w:tcPr>
                  <w:tcW w:w="594" w:type="pct"/>
                  <w:vAlign w:val="center"/>
                </w:tcPr>
                <w:p>
                  <w:pPr>
                    <w:adjustRightInd w:val="0"/>
                    <w:snapToGrid w:val="0"/>
                    <w:spacing w:line="240" w:lineRule="auto"/>
                    <w:ind w:firstLine="0" w:firstLineChars="0"/>
                    <w:jc w:val="center"/>
                    <w:rPr>
                      <w:sz w:val="21"/>
                      <w:szCs w:val="21"/>
                    </w:rPr>
                  </w:pPr>
                  <w:r>
                    <w:rPr>
                      <w:sz w:val="21"/>
                      <w:szCs w:val="21"/>
                    </w:rPr>
                    <w:t>60</w:t>
                  </w:r>
                </w:p>
              </w:tc>
              <w:tc>
                <w:tcPr>
                  <w:tcW w:w="594" w:type="pct"/>
                  <w:vAlign w:val="center"/>
                </w:tcPr>
                <w:p>
                  <w:pPr>
                    <w:adjustRightInd w:val="0"/>
                    <w:snapToGrid w:val="0"/>
                    <w:spacing w:line="240" w:lineRule="auto"/>
                    <w:ind w:firstLine="0" w:firstLineChars="0"/>
                    <w:jc w:val="center"/>
                    <w:rPr>
                      <w:sz w:val="21"/>
                      <w:szCs w:val="21"/>
                    </w:rPr>
                  </w:pPr>
                  <w:r>
                    <w:rPr>
                      <w:sz w:val="21"/>
                      <w:szCs w:val="21"/>
                    </w:rPr>
                    <w:t>40</w:t>
                  </w:r>
                </w:p>
              </w:tc>
              <w:tc>
                <w:tcPr>
                  <w:tcW w:w="594" w:type="pct"/>
                  <w:vAlign w:val="center"/>
                </w:tcPr>
                <w:p>
                  <w:pPr>
                    <w:adjustRightInd w:val="0"/>
                    <w:snapToGrid w:val="0"/>
                    <w:spacing w:line="240" w:lineRule="auto"/>
                    <w:ind w:firstLine="0" w:firstLineChars="0"/>
                    <w:jc w:val="center"/>
                    <w:rPr>
                      <w:sz w:val="21"/>
                      <w:szCs w:val="21"/>
                    </w:rPr>
                  </w:pPr>
                  <w:r>
                    <w:rPr>
                      <w:sz w:val="21"/>
                      <w:szCs w:val="21"/>
                    </w:rPr>
                    <w:t>70</w:t>
                  </w:r>
                </w:p>
              </w:tc>
              <w:tc>
                <w:tcPr>
                  <w:tcW w:w="594" w:type="pct"/>
                  <w:vAlign w:val="center"/>
                </w:tcPr>
                <w:p>
                  <w:pPr>
                    <w:adjustRightInd w:val="0"/>
                    <w:snapToGrid w:val="0"/>
                    <w:spacing w:line="240" w:lineRule="auto"/>
                    <w:ind w:firstLine="0" w:firstLineChars="0"/>
                    <w:jc w:val="center"/>
                    <w:rPr>
                      <w:sz w:val="21"/>
                      <w:szCs w:val="21"/>
                    </w:rPr>
                  </w:pPr>
                  <w:r>
                    <w:rPr>
                      <w:sz w:val="21"/>
                      <w:szCs w:val="21"/>
                    </w:rPr>
                    <w:t>35</w:t>
                  </w:r>
                </w:p>
              </w:tc>
              <w:tc>
                <w:tcPr>
                  <w:tcW w:w="594" w:type="pct"/>
                  <w:vAlign w:val="center"/>
                </w:tcPr>
                <w:p>
                  <w:pPr>
                    <w:adjustRightInd w:val="0"/>
                    <w:snapToGrid w:val="0"/>
                    <w:spacing w:line="240" w:lineRule="auto"/>
                    <w:ind w:firstLine="0" w:firstLineChars="0"/>
                    <w:jc w:val="center"/>
                    <w:rPr>
                      <w:sz w:val="21"/>
                      <w:szCs w:val="21"/>
                    </w:rPr>
                  </w:pPr>
                  <w:r>
                    <w:rPr>
                      <w:sz w:val="21"/>
                      <w:szCs w:val="21"/>
                    </w:rPr>
                    <w:t>/</w:t>
                  </w:r>
                </w:p>
              </w:tc>
              <w:tc>
                <w:tcPr>
                  <w:tcW w:w="594" w:type="pct"/>
                  <w:vAlign w:val="center"/>
                </w:tcPr>
                <w:p>
                  <w:pPr>
                    <w:adjustRightInd w:val="0"/>
                    <w:snapToGrid w:val="0"/>
                    <w:spacing w:line="240" w:lineRule="auto"/>
                    <w:ind w:firstLine="0" w:firstLineChars="0"/>
                    <w:jc w:val="center"/>
                    <w:rPr>
                      <w:sz w:val="21"/>
                      <w:szCs w:val="21"/>
                    </w:rPr>
                  </w:pPr>
                </w:p>
              </w:tc>
              <w:tc>
                <w:tcPr>
                  <w:tcW w:w="594" w:type="pct"/>
                  <w:vAlign w:val="center"/>
                </w:tcPr>
                <w:p>
                  <w:pPr>
                    <w:adjustRightInd w:val="0"/>
                    <w:snapToGrid w:val="0"/>
                    <w:spacing w:line="240" w:lineRule="auto"/>
                    <w:ind w:firstLine="0" w:firstLineChars="0"/>
                    <w:jc w:val="center"/>
                    <w:rPr>
                      <w:sz w:val="21"/>
                      <w:szCs w:val="21"/>
                    </w:rPr>
                  </w:pPr>
                  <w:r>
                    <w:rPr>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42" w:type="pct"/>
                  <w:vAlign w:val="center"/>
                </w:tcPr>
                <w:p>
                  <w:pPr>
                    <w:adjustRightInd w:val="0"/>
                    <w:snapToGrid w:val="0"/>
                    <w:spacing w:line="240" w:lineRule="auto"/>
                    <w:ind w:firstLine="0" w:firstLineChars="0"/>
                    <w:jc w:val="center"/>
                    <w:rPr>
                      <w:sz w:val="21"/>
                      <w:szCs w:val="21"/>
                    </w:rPr>
                  </w:pPr>
                  <w:r>
                    <w:rPr>
                      <w:sz w:val="21"/>
                      <w:szCs w:val="21"/>
                    </w:rPr>
                    <w:t>日平均</w:t>
                  </w:r>
                </w:p>
              </w:tc>
              <w:tc>
                <w:tcPr>
                  <w:tcW w:w="594" w:type="pct"/>
                  <w:vAlign w:val="center"/>
                </w:tcPr>
                <w:p>
                  <w:pPr>
                    <w:adjustRightInd w:val="0"/>
                    <w:snapToGrid w:val="0"/>
                    <w:spacing w:line="240" w:lineRule="auto"/>
                    <w:ind w:firstLine="0" w:firstLineChars="0"/>
                    <w:jc w:val="center"/>
                    <w:rPr>
                      <w:sz w:val="21"/>
                      <w:szCs w:val="21"/>
                    </w:rPr>
                  </w:pPr>
                  <w:r>
                    <w:rPr>
                      <w:sz w:val="21"/>
                      <w:szCs w:val="21"/>
                    </w:rPr>
                    <w:t>150</w:t>
                  </w:r>
                </w:p>
              </w:tc>
              <w:tc>
                <w:tcPr>
                  <w:tcW w:w="594" w:type="pct"/>
                  <w:vAlign w:val="center"/>
                </w:tcPr>
                <w:p>
                  <w:pPr>
                    <w:adjustRightInd w:val="0"/>
                    <w:snapToGrid w:val="0"/>
                    <w:spacing w:line="240" w:lineRule="auto"/>
                    <w:ind w:firstLine="0" w:firstLineChars="0"/>
                    <w:jc w:val="center"/>
                    <w:rPr>
                      <w:sz w:val="21"/>
                      <w:szCs w:val="21"/>
                    </w:rPr>
                  </w:pPr>
                  <w:r>
                    <w:rPr>
                      <w:sz w:val="21"/>
                      <w:szCs w:val="21"/>
                    </w:rPr>
                    <w:t>80</w:t>
                  </w:r>
                </w:p>
              </w:tc>
              <w:tc>
                <w:tcPr>
                  <w:tcW w:w="594" w:type="pct"/>
                  <w:vAlign w:val="center"/>
                </w:tcPr>
                <w:p>
                  <w:pPr>
                    <w:adjustRightInd w:val="0"/>
                    <w:snapToGrid w:val="0"/>
                    <w:spacing w:line="240" w:lineRule="auto"/>
                    <w:ind w:firstLine="0" w:firstLineChars="0"/>
                    <w:jc w:val="center"/>
                    <w:rPr>
                      <w:sz w:val="21"/>
                      <w:szCs w:val="21"/>
                    </w:rPr>
                  </w:pPr>
                  <w:r>
                    <w:rPr>
                      <w:sz w:val="21"/>
                      <w:szCs w:val="21"/>
                    </w:rPr>
                    <w:t>150</w:t>
                  </w:r>
                </w:p>
              </w:tc>
              <w:tc>
                <w:tcPr>
                  <w:tcW w:w="594" w:type="pct"/>
                  <w:vAlign w:val="center"/>
                </w:tcPr>
                <w:p>
                  <w:pPr>
                    <w:adjustRightInd w:val="0"/>
                    <w:snapToGrid w:val="0"/>
                    <w:spacing w:line="240" w:lineRule="auto"/>
                    <w:ind w:firstLine="0" w:firstLineChars="0"/>
                    <w:jc w:val="center"/>
                    <w:rPr>
                      <w:sz w:val="21"/>
                      <w:szCs w:val="21"/>
                    </w:rPr>
                  </w:pPr>
                  <w:r>
                    <w:rPr>
                      <w:sz w:val="21"/>
                      <w:szCs w:val="21"/>
                    </w:rPr>
                    <w:t>75</w:t>
                  </w:r>
                </w:p>
              </w:tc>
              <w:tc>
                <w:tcPr>
                  <w:tcW w:w="594" w:type="pct"/>
                  <w:vAlign w:val="center"/>
                </w:tcPr>
                <w:p>
                  <w:pPr>
                    <w:adjustRightInd w:val="0"/>
                    <w:snapToGrid w:val="0"/>
                    <w:spacing w:line="240" w:lineRule="auto"/>
                    <w:ind w:firstLine="0" w:firstLineChars="0"/>
                    <w:jc w:val="center"/>
                    <w:rPr>
                      <w:sz w:val="21"/>
                      <w:szCs w:val="21"/>
                    </w:rPr>
                  </w:pPr>
                  <w:r>
                    <w:rPr>
                      <w:sz w:val="21"/>
                      <w:szCs w:val="21"/>
                    </w:rPr>
                    <w:t>4</w:t>
                  </w:r>
                </w:p>
              </w:tc>
              <w:tc>
                <w:tcPr>
                  <w:tcW w:w="594" w:type="pct"/>
                  <w:vAlign w:val="center"/>
                </w:tcPr>
                <w:p>
                  <w:pPr>
                    <w:adjustRightInd w:val="0"/>
                    <w:snapToGrid w:val="0"/>
                    <w:spacing w:line="240" w:lineRule="auto"/>
                    <w:ind w:firstLine="0" w:firstLineChars="0"/>
                    <w:jc w:val="center"/>
                    <w:rPr>
                      <w:sz w:val="21"/>
                      <w:szCs w:val="21"/>
                    </w:rPr>
                  </w:pPr>
                  <w:r>
                    <w:rPr>
                      <w:sz w:val="21"/>
                      <w:szCs w:val="21"/>
                    </w:rPr>
                    <w:t>160</w:t>
                  </w:r>
                  <w:r>
                    <w:rPr>
                      <w:sz w:val="21"/>
                      <w:szCs w:val="21"/>
                      <w:vertAlign w:val="superscript"/>
                    </w:rPr>
                    <w:t>*</w:t>
                  </w:r>
                </w:p>
              </w:tc>
              <w:tc>
                <w:tcPr>
                  <w:tcW w:w="594" w:type="pct"/>
                  <w:vAlign w:val="center"/>
                </w:tcPr>
                <w:p>
                  <w:pPr>
                    <w:adjustRightInd w:val="0"/>
                    <w:snapToGrid w:val="0"/>
                    <w:spacing w:line="240" w:lineRule="auto"/>
                    <w:ind w:firstLine="0" w:firstLineChars="0"/>
                    <w:jc w:val="center"/>
                    <w:rPr>
                      <w:sz w:val="21"/>
                      <w:szCs w:val="21"/>
                    </w:rPr>
                  </w:pPr>
                  <w:r>
                    <w:rPr>
                      <w:sz w:val="21"/>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42" w:type="pct"/>
                  <w:vAlign w:val="center"/>
                </w:tcPr>
                <w:p>
                  <w:pPr>
                    <w:adjustRightInd w:val="0"/>
                    <w:snapToGrid w:val="0"/>
                    <w:spacing w:line="240" w:lineRule="auto"/>
                    <w:ind w:firstLine="0" w:firstLineChars="0"/>
                    <w:jc w:val="center"/>
                    <w:rPr>
                      <w:sz w:val="21"/>
                      <w:szCs w:val="21"/>
                    </w:rPr>
                  </w:pPr>
                  <w:r>
                    <w:rPr>
                      <w:sz w:val="21"/>
                      <w:szCs w:val="21"/>
                    </w:rPr>
                    <w:t>1小时平均</w:t>
                  </w:r>
                </w:p>
              </w:tc>
              <w:tc>
                <w:tcPr>
                  <w:tcW w:w="594" w:type="pct"/>
                  <w:vAlign w:val="center"/>
                </w:tcPr>
                <w:p>
                  <w:pPr>
                    <w:adjustRightInd w:val="0"/>
                    <w:snapToGrid w:val="0"/>
                    <w:spacing w:line="240" w:lineRule="auto"/>
                    <w:ind w:firstLine="0" w:firstLineChars="0"/>
                    <w:jc w:val="center"/>
                    <w:rPr>
                      <w:sz w:val="21"/>
                      <w:szCs w:val="21"/>
                    </w:rPr>
                  </w:pPr>
                  <w:r>
                    <w:rPr>
                      <w:sz w:val="21"/>
                      <w:szCs w:val="21"/>
                    </w:rPr>
                    <w:t>500</w:t>
                  </w:r>
                </w:p>
              </w:tc>
              <w:tc>
                <w:tcPr>
                  <w:tcW w:w="594" w:type="pct"/>
                  <w:vAlign w:val="center"/>
                </w:tcPr>
                <w:p>
                  <w:pPr>
                    <w:adjustRightInd w:val="0"/>
                    <w:snapToGrid w:val="0"/>
                    <w:spacing w:line="240" w:lineRule="auto"/>
                    <w:ind w:firstLine="0" w:firstLineChars="0"/>
                    <w:jc w:val="center"/>
                    <w:rPr>
                      <w:sz w:val="21"/>
                      <w:szCs w:val="21"/>
                    </w:rPr>
                  </w:pPr>
                  <w:r>
                    <w:rPr>
                      <w:sz w:val="21"/>
                      <w:szCs w:val="21"/>
                    </w:rPr>
                    <w:t>200</w:t>
                  </w:r>
                </w:p>
              </w:tc>
              <w:tc>
                <w:tcPr>
                  <w:tcW w:w="594" w:type="pct"/>
                  <w:vAlign w:val="center"/>
                </w:tcPr>
                <w:p>
                  <w:pPr>
                    <w:adjustRightInd w:val="0"/>
                    <w:snapToGrid w:val="0"/>
                    <w:spacing w:line="240" w:lineRule="auto"/>
                    <w:ind w:firstLine="0" w:firstLineChars="0"/>
                    <w:jc w:val="center"/>
                    <w:rPr>
                      <w:sz w:val="21"/>
                      <w:szCs w:val="21"/>
                    </w:rPr>
                  </w:pPr>
                  <w:r>
                    <w:rPr>
                      <w:sz w:val="21"/>
                      <w:szCs w:val="21"/>
                    </w:rPr>
                    <w:t>/</w:t>
                  </w:r>
                </w:p>
              </w:tc>
              <w:tc>
                <w:tcPr>
                  <w:tcW w:w="594" w:type="pct"/>
                  <w:vAlign w:val="center"/>
                </w:tcPr>
                <w:p>
                  <w:pPr>
                    <w:adjustRightInd w:val="0"/>
                    <w:snapToGrid w:val="0"/>
                    <w:spacing w:line="240" w:lineRule="auto"/>
                    <w:ind w:firstLine="0" w:firstLineChars="0"/>
                    <w:jc w:val="center"/>
                    <w:rPr>
                      <w:sz w:val="21"/>
                      <w:szCs w:val="21"/>
                    </w:rPr>
                  </w:pPr>
                  <w:r>
                    <w:rPr>
                      <w:sz w:val="21"/>
                      <w:szCs w:val="21"/>
                    </w:rPr>
                    <w:t>/</w:t>
                  </w:r>
                </w:p>
              </w:tc>
              <w:tc>
                <w:tcPr>
                  <w:tcW w:w="594" w:type="pct"/>
                  <w:vAlign w:val="center"/>
                </w:tcPr>
                <w:p>
                  <w:pPr>
                    <w:adjustRightInd w:val="0"/>
                    <w:snapToGrid w:val="0"/>
                    <w:spacing w:line="240" w:lineRule="auto"/>
                    <w:ind w:firstLine="0" w:firstLineChars="0"/>
                    <w:jc w:val="center"/>
                    <w:rPr>
                      <w:sz w:val="21"/>
                      <w:szCs w:val="21"/>
                    </w:rPr>
                  </w:pPr>
                  <w:r>
                    <w:rPr>
                      <w:sz w:val="21"/>
                      <w:szCs w:val="21"/>
                    </w:rPr>
                    <w:t>10</w:t>
                  </w:r>
                </w:p>
              </w:tc>
              <w:tc>
                <w:tcPr>
                  <w:tcW w:w="594" w:type="pct"/>
                  <w:vAlign w:val="center"/>
                </w:tcPr>
                <w:p>
                  <w:pPr>
                    <w:adjustRightInd w:val="0"/>
                    <w:snapToGrid w:val="0"/>
                    <w:spacing w:line="240" w:lineRule="auto"/>
                    <w:ind w:firstLine="0" w:firstLineChars="0"/>
                    <w:jc w:val="center"/>
                    <w:rPr>
                      <w:sz w:val="21"/>
                      <w:szCs w:val="21"/>
                    </w:rPr>
                  </w:pPr>
                  <w:r>
                    <w:rPr>
                      <w:sz w:val="21"/>
                      <w:szCs w:val="21"/>
                    </w:rPr>
                    <w:t>200</w:t>
                  </w:r>
                </w:p>
              </w:tc>
              <w:tc>
                <w:tcPr>
                  <w:tcW w:w="594" w:type="pct"/>
                  <w:vAlign w:val="center"/>
                </w:tcPr>
                <w:p>
                  <w:pPr>
                    <w:adjustRightInd w:val="0"/>
                    <w:snapToGrid w:val="0"/>
                    <w:spacing w:line="240" w:lineRule="auto"/>
                    <w:ind w:firstLine="0" w:firstLineChars="0"/>
                    <w:jc w:val="center"/>
                    <w:rPr>
                      <w:sz w:val="21"/>
                      <w:szCs w:val="21"/>
                    </w:rPr>
                  </w:pPr>
                  <w:r>
                    <w:rPr>
                      <w:sz w:val="21"/>
                      <w:szCs w:val="21"/>
                    </w:rPr>
                    <w:t>/</w:t>
                  </w:r>
                </w:p>
              </w:tc>
            </w:tr>
          </w:tbl>
          <w:p>
            <w:pPr>
              <w:adjustRightInd w:val="0"/>
              <w:snapToGrid w:val="0"/>
              <w:ind w:firstLine="0" w:firstLineChars="0"/>
              <w:rPr>
                <w:bCs/>
                <w:sz w:val="21"/>
                <w:szCs w:val="18"/>
              </w:rPr>
            </w:pPr>
            <w:r>
              <w:rPr>
                <w:bCs/>
                <w:sz w:val="21"/>
                <w:szCs w:val="18"/>
              </w:rPr>
              <w:t>2、《地表水环境质量标准》（GB3838-2002）表1</w:t>
            </w:r>
            <w:r>
              <w:rPr>
                <w:rFonts w:hint="eastAsia"/>
                <w:bCs/>
                <w:sz w:val="21"/>
                <w:szCs w:val="18"/>
              </w:rPr>
              <w:t xml:space="preserve">   </w:t>
            </w:r>
            <w:r>
              <w:rPr>
                <w:bCs/>
                <w:sz w:val="21"/>
                <w:szCs w:val="18"/>
              </w:rPr>
              <w:t>V类</w:t>
            </w:r>
            <w:r>
              <w:rPr>
                <w:rFonts w:hint="eastAsia"/>
                <w:bCs/>
                <w:sz w:val="21"/>
                <w:szCs w:val="18"/>
              </w:rPr>
              <w:t xml:space="preserve">   </w:t>
            </w:r>
            <w:r>
              <w:rPr>
                <w:bCs/>
                <w:sz w:val="21"/>
                <w:szCs w:val="18"/>
              </w:rPr>
              <w:t>单位：mg/L（pH除外）</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1436"/>
              <w:gridCol w:w="1340"/>
              <w:gridCol w:w="1335"/>
              <w:gridCol w:w="1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91" w:type="pct"/>
                  <w:vAlign w:val="center"/>
                </w:tcPr>
                <w:p>
                  <w:pPr>
                    <w:adjustRightInd w:val="0"/>
                    <w:snapToGrid w:val="0"/>
                    <w:spacing w:line="360" w:lineRule="exact"/>
                    <w:ind w:firstLine="0" w:firstLineChars="0"/>
                    <w:jc w:val="center"/>
                    <w:rPr>
                      <w:bCs/>
                      <w:sz w:val="21"/>
                      <w:szCs w:val="21"/>
                    </w:rPr>
                  </w:pPr>
                  <w:r>
                    <w:rPr>
                      <w:sz w:val="21"/>
                      <w:szCs w:val="21"/>
                    </w:rPr>
                    <w:t>污染物名称</w:t>
                  </w:r>
                </w:p>
              </w:tc>
              <w:tc>
                <w:tcPr>
                  <w:tcW w:w="908" w:type="pct"/>
                  <w:vAlign w:val="center"/>
                </w:tcPr>
                <w:p>
                  <w:pPr>
                    <w:adjustRightInd w:val="0"/>
                    <w:snapToGrid w:val="0"/>
                    <w:spacing w:line="360" w:lineRule="exact"/>
                    <w:ind w:firstLine="0" w:firstLineChars="0"/>
                    <w:jc w:val="center"/>
                    <w:rPr>
                      <w:sz w:val="21"/>
                      <w:szCs w:val="21"/>
                    </w:rPr>
                  </w:pPr>
                  <w:r>
                    <w:rPr>
                      <w:sz w:val="21"/>
                      <w:szCs w:val="21"/>
                    </w:rPr>
                    <w:t>COD</w:t>
                  </w:r>
                </w:p>
              </w:tc>
              <w:tc>
                <w:tcPr>
                  <w:tcW w:w="847" w:type="pct"/>
                  <w:vAlign w:val="center"/>
                </w:tcPr>
                <w:p>
                  <w:pPr>
                    <w:adjustRightInd w:val="0"/>
                    <w:snapToGrid w:val="0"/>
                    <w:spacing w:line="360" w:lineRule="exact"/>
                    <w:ind w:firstLine="0" w:firstLineChars="0"/>
                    <w:jc w:val="center"/>
                    <w:rPr>
                      <w:sz w:val="21"/>
                      <w:szCs w:val="21"/>
                    </w:rPr>
                  </w:pPr>
                  <w:r>
                    <w:rPr>
                      <w:sz w:val="21"/>
                      <w:szCs w:val="21"/>
                    </w:rPr>
                    <w:t>氨氮</w:t>
                  </w:r>
                </w:p>
              </w:tc>
              <w:tc>
                <w:tcPr>
                  <w:tcW w:w="844" w:type="pct"/>
                  <w:vAlign w:val="center"/>
                </w:tcPr>
                <w:p>
                  <w:pPr>
                    <w:adjustRightInd w:val="0"/>
                    <w:snapToGrid w:val="0"/>
                    <w:spacing w:line="360" w:lineRule="exact"/>
                    <w:ind w:firstLine="0" w:firstLineChars="0"/>
                    <w:jc w:val="center"/>
                    <w:rPr>
                      <w:bCs/>
                      <w:sz w:val="21"/>
                      <w:szCs w:val="21"/>
                    </w:rPr>
                  </w:pPr>
                  <w:r>
                    <w:rPr>
                      <w:bCs/>
                      <w:sz w:val="21"/>
                      <w:szCs w:val="21"/>
                    </w:rPr>
                    <w:t>总磷</w:t>
                  </w:r>
                </w:p>
              </w:tc>
              <w:tc>
                <w:tcPr>
                  <w:tcW w:w="810" w:type="pct"/>
                </w:tcPr>
                <w:p>
                  <w:pPr>
                    <w:adjustRightInd w:val="0"/>
                    <w:snapToGrid w:val="0"/>
                    <w:spacing w:line="360" w:lineRule="exact"/>
                    <w:ind w:firstLine="0" w:firstLineChars="0"/>
                    <w:jc w:val="center"/>
                    <w:rPr>
                      <w:bCs/>
                      <w:sz w:val="21"/>
                      <w:szCs w:val="21"/>
                    </w:rPr>
                  </w:pPr>
                  <w:r>
                    <w:rPr>
                      <w:bCs/>
                      <w:sz w:val="21"/>
                      <w:szCs w:val="21"/>
                    </w:rPr>
                    <w:t>pH值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591" w:type="pct"/>
                  <w:vAlign w:val="center"/>
                </w:tcPr>
                <w:p>
                  <w:pPr>
                    <w:adjustRightInd w:val="0"/>
                    <w:snapToGrid w:val="0"/>
                    <w:spacing w:line="360" w:lineRule="exact"/>
                    <w:ind w:firstLine="0" w:firstLineChars="0"/>
                    <w:jc w:val="center"/>
                    <w:rPr>
                      <w:sz w:val="21"/>
                      <w:szCs w:val="21"/>
                    </w:rPr>
                  </w:pPr>
                  <w:r>
                    <w:rPr>
                      <w:sz w:val="21"/>
                      <w:szCs w:val="21"/>
                    </w:rPr>
                    <w:t>标准值</w:t>
                  </w:r>
                </w:p>
              </w:tc>
              <w:tc>
                <w:tcPr>
                  <w:tcW w:w="908" w:type="pct"/>
                  <w:vAlign w:val="center"/>
                </w:tcPr>
                <w:p>
                  <w:pPr>
                    <w:adjustRightInd w:val="0"/>
                    <w:snapToGrid w:val="0"/>
                    <w:spacing w:line="360" w:lineRule="exact"/>
                    <w:ind w:firstLine="0" w:firstLineChars="0"/>
                    <w:jc w:val="center"/>
                    <w:rPr>
                      <w:sz w:val="21"/>
                      <w:szCs w:val="21"/>
                    </w:rPr>
                  </w:pPr>
                  <w:r>
                    <w:rPr>
                      <w:sz w:val="21"/>
                      <w:szCs w:val="21"/>
                    </w:rPr>
                    <w:t>40</w:t>
                  </w:r>
                </w:p>
              </w:tc>
              <w:tc>
                <w:tcPr>
                  <w:tcW w:w="847" w:type="pct"/>
                  <w:vAlign w:val="center"/>
                </w:tcPr>
                <w:p>
                  <w:pPr>
                    <w:adjustRightInd w:val="0"/>
                    <w:snapToGrid w:val="0"/>
                    <w:spacing w:line="360" w:lineRule="exact"/>
                    <w:ind w:firstLine="0" w:firstLineChars="0"/>
                    <w:jc w:val="center"/>
                    <w:rPr>
                      <w:sz w:val="21"/>
                      <w:szCs w:val="21"/>
                    </w:rPr>
                  </w:pPr>
                  <w:r>
                    <w:rPr>
                      <w:sz w:val="21"/>
                      <w:szCs w:val="21"/>
                    </w:rPr>
                    <w:t>2.0</w:t>
                  </w:r>
                </w:p>
              </w:tc>
              <w:tc>
                <w:tcPr>
                  <w:tcW w:w="844" w:type="pct"/>
                  <w:vAlign w:val="center"/>
                </w:tcPr>
                <w:p>
                  <w:pPr>
                    <w:adjustRightInd w:val="0"/>
                    <w:snapToGrid w:val="0"/>
                    <w:spacing w:line="360" w:lineRule="exact"/>
                    <w:ind w:firstLine="0" w:firstLineChars="0"/>
                    <w:jc w:val="center"/>
                    <w:rPr>
                      <w:sz w:val="21"/>
                      <w:szCs w:val="21"/>
                    </w:rPr>
                  </w:pPr>
                  <w:r>
                    <w:rPr>
                      <w:sz w:val="21"/>
                      <w:szCs w:val="21"/>
                    </w:rPr>
                    <w:t>0.4</w:t>
                  </w:r>
                </w:p>
              </w:tc>
              <w:tc>
                <w:tcPr>
                  <w:tcW w:w="810" w:type="pct"/>
                </w:tcPr>
                <w:p>
                  <w:pPr>
                    <w:adjustRightInd w:val="0"/>
                    <w:snapToGrid w:val="0"/>
                    <w:spacing w:line="360" w:lineRule="exact"/>
                    <w:ind w:firstLine="0" w:firstLineChars="0"/>
                    <w:jc w:val="center"/>
                    <w:rPr>
                      <w:sz w:val="21"/>
                      <w:szCs w:val="21"/>
                    </w:rPr>
                  </w:pPr>
                  <w:r>
                    <w:rPr>
                      <w:sz w:val="21"/>
                      <w:szCs w:val="21"/>
                    </w:rPr>
                    <w:t>6～9</w:t>
                  </w:r>
                </w:p>
              </w:tc>
            </w:tr>
          </w:tbl>
          <w:p>
            <w:pPr>
              <w:adjustRightInd w:val="0"/>
              <w:snapToGrid w:val="0"/>
              <w:ind w:firstLine="0" w:firstLineChars="0"/>
            </w:pPr>
            <w:r>
              <w:rPr>
                <w:rFonts w:hint="eastAsia"/>
                <w:bCs/>
                <w:sz w:val="21"/>
                <w:szCs w:val="21"/>
              </w:rPr>
              <w:t>3</w:t>
            </w:r>
            <w:r>
              <w:rPr>
                <w:bCs/>
                <w:sz w:val="21"/>
                <w:szCs w:val="21"/>
              </w:rPr>
              <w:t>、《声环境质量标准》（GB3096-2008）2类     单位:dB﹙A﹚</w:t>
            </w:r>
          </w:p>
          <w:tbl>
            <w:tblPr>
              <w:tblStyle w:val="20"/>
              <w:tblW w:w="79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34"/>
              <w:gridCol w:w="2637"/>
              <w:gridCol w:w="2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634" w:type="dxa"/>
                  <w:vAlign w:val="center"/>
                </w:tcPr>
                <w:p>
                  <w:pPr>
                    <w:adjustRightInd w:val="0"/>
                    <w:snapToGrid w:val="0"/>
                    <w:spacing w:line="360" w:lineRule="exact"/>
                    <w:ind w:firstLine="0" w:firstLineChars="0"/>
                    <w:jc w:val="center"/>
                    <w:rPr>
                      <w:sz w:val="21"/>
                      <w:szCs w:val="21"/>
                    </w:rPr>
                  </w:pPr>
                  <w:r>
                    <w:rPr>
                      <w:sz w:val="21"/>
                      <w:szCs w:val="21"/>
                    </w:rPr>
                    <w:t>类别</w:t>
                  </w:r>
                </w:p>
              </w:tc>
              <w:tc>
                <w:tcPr>
                  <w:tcW w:w="2637" w:type="dxa"/>
                  <w:vAlign w:val="center"/>
                </w:tcPr>
                <w:p>
                  <w:pPr>
                    <w:adjustRightInd w:val="0"/>
                    <w:snapToGrid w:val="0"/>
                    <w:spacing w:line="360" w:lineRule="exact"/>
                    <w:ind w:firstLine="0" w:firstLineChars="0"/>
                    <w:jc w:val="center"/>
                    <w:rPr>
                      <w:sz w:val="21"/>
                      <w:szCs w:val="21"/>
                    </w:rPr>
                  </w:pPr>
                  <w:r>
                    <w:rPr>
                      <w:sz w:val="21"/>
                      <w:szCs w:val="21"/>
                    </w:rPr>
                    <w:t>昼间</w:t>
                  </w:r>
                </w:p>
              </w:tc>
              <w:tc>
                <w:tcPr>
                  <w:tcW w:w="2637" w:type="dxa"/>
                  <w:vAlign w:val="center"/>
                </w:tcPr>
                <w:p>
                  <w:pPr>
                    <w:adjustRightInd w:val="0"/>
                    <w:snapToGrid w:val="0"/>
                    <w:spacing w:line="360" w:lineRule="exact"/>
                    <w:ind w:firstLine="0" w:firstLineChars="0"/>
                    <w:jc w:val="center"/>
                    <w:rPr>
                      <w:sz w:val="21"/>
                      <w:szCs w:val="21"/>
                    </w:rPr>
                  </w:pPr>
                  <w:r>
                    <w:rPr>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634" w:type="dxa"/>
                  <w:vAlign w:val="center"/>
                </w:tcPr>
                <w:p>
                  <w:pPr>
                    <w:adjustRightInd w:val="0"/>
                    <w:snapToGrid w:val="0"/>
                    <w:spacing w:line="360" w:lineRule="exact"/>
                    <w:ind w:firstLine="0" w:firstLineChars="0"/>
                    <w:jc w:val="center"/>
                    <w:rPr>
                      <w:sz w:val="21"/>
                      <w:szCs w:val="21"/>
                    </w:rPr>
                  </w:pPr>
                  <w:r>
                    <w:rPr>
                      <w:sz w:val="21"/>
                      <w:szCs w:val="21"/>
                    </w:rPr>
                    <w:t>2类</w:t>
                  </w:r>
                </w:p>
              </w:tc>
              <w:tc>
                <w:tcPr>
                  <w:tcW w:w="2637" w:type="dxa"/>
                  <w:vAlign w:val="center"/>
                </w:tcPr>
                <w:p>
                  <w:pPr>
                    <w:adjustRightInd w:val="0"/>
                    <w:snapToGrid w:val="0"/>
                    <w:spacing w:line="360" w:lineRule="exact"/>
                    <w:ind w:firstLine="0" w:firstLineChars="0"/>
                    <w:jc w:val="center"/>
                    <w:rPr>
                      <w:sz w:val="21"/>
                      <w:szCs w:val="21"/>
                    </w:rPr>
                  </w:pPr>
                  <w:r>
                    <w:rPr>
                      <w:sz w:val="21"/>
                      <w:szCs w:val="21"/>
                    </w:rPr>
                    <w:t>60</w:t>
                  </w:r>
                </w:p>
              </w:tc>
              <w:tc>
                <w:tcPr>
                  <w:tcW w:w="2637" w:type="dxa"/>
                  <w:vAlign w:val="center"/>
                </w:tcPr>
                <w:p>
                  <w:pPr>
                    <w:adjustRightInd w:val="0"/>
                    <w:snapToGrid w:val="0"/>
                    <w:spacing w:line="360" w:lineRule="exact"/>
                    <w:ind w:firstLine="0" w:firstLineChars="0"/>
                    <w:jc w:val="center"/>
                    <w:rPr>
                      <w:sz w:val="21"/>
                      <w:szCs w:val="21"/>
                    </w:rPr>
                  </w:pPr>
                  <w:r>
                    <w:rPr>
                      <w:sz w:val="21"/>
                      <w:szCs w:val="21"/>
                    </w:rPr>
                    <w:t>50</w:t>
                  </w:r>
                </w:p>
              </w:tc>
            </w:tr>
          </w:tbl>
          <w:p>
            <w:pPr>
              <w:spacing w:before="156" w:beforeLines="50"/>
              <w:ind w:firstLine="0" w:firstLineChars="0"/>
              <w:rPr>
                <w:b/>
                <w:bCs/>
                <w:sz w:val="21"/>
                <w:szCs w:val="18"/>
                <w:u w:val="single"/>
              </w:rPr>
            </w:pPr>
            <w:r>
              <w:rPr>
                <w:rFonts w:hint="eastAsia"/>
                <w:b/>
                <w:bCs/>
                <w:sz w:val="21"/>
                <w:szCs w:val="18"/>
                <w:u w:val="single"/>
              </w:rPr>
              <w:t>4</w:t>
            </w:r>
            <w:r>
              <w:rPr>
                <w:b/>
                <w:bCs/>
                <w:sz w:val="21"/>
                <w:szCs w:val="18"/>
                <w:u w:val="single"/>
              </w:rPr>
              <w:t>、《土壤环境质量 建设用地土壤污染风险管控标准》（GB36600-2018）表1标准</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28" w:type="dxa"/>
                <w:left w:w="108" w:type="dxa"/>
                <w:bottom w:w="28" w:type="dxa"/>
                <w:right w:w="108" w:type="dxa"/>
              </w:tblCellMar>
            </w:tblPr>
            <w:tblGrid>
              <w:gridCol w:w="3160"/>
              <w:gridCol w:w="2247"/>
              <w:gridCol w:w="2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20" w:hRule="atLeast"/>
                <w:tblHeader/>
                <w:jc w:val="center"/>
              </w:trPr>
              <w:tc>
                <w:tcPr>
                  <w:tcW w:w="3160" w:type="dxa"/>
                  <w:vMerge w:val="restart"/>
                  <w:tcBorders>
                    <w:top w:val="single" w:color="auto" w:sz="12"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项    目</w:t>
                  </w:r>
                </w:p>
              </w:tc>
              <w:tc>
                <w:tcPr>
                  <w:tcW w:w="2247"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筛  选  值（</w:t>
                  </w:r>
                  <w:r>
                    <w:rPr>
                      <w:b/>
                      <w:sz w:val="21"/>
                      <w:szCs w:val="21"/>
                      <w:u w:val="single"/>
                    </w:rPr>
                    <w:t>mg/kg</w:t>
                  </w:r>
                  <w:r>
                    <w:rPr>
                      <w:b/>
                      <w:bCs/>
                      <w:sz w:val="21"/>
                      <w:szCs w:val="21"/>
                      <w:u w:val="single"/>
                    </w:rPr>
                    <w:t>）</w:t>
                  </w:r>
                </w:p>
              </w:tc>
              <w:tc>
                <w:tcPr>
                  <w:tcW w:w="2501"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筛  选  值（</w:t>
                  </w:r>
                  <w:r>
                    <w:rPr>
                      <w:b/>
                      <w:sz w:val="21"/>
                      <w:szCs w:val="21"/>
                      <w:u w:val="single"/>
                    </w:rPr>
                    <w:t>mg/kg</w:t>
                  </w:r>
                  <w:r>
                    <w:rPr>
                      <w:b/>
                      <w:bCs/>
                      <w:sz w:val="21"/>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90" w:hRule="atLeast"/>
                <w:tblHeader/>
                <w:jc w:val="center"/>
              </w:trPr>
              <w:tc>
                <w:tcPr>
                  <w:tcW w:w="3160" w:type="dxa"/>
                  <w:vMerge w:val="continue"/>
                  <w:tcBorders>
                    <w:right w:val="single" w:color="auto" w:sz="4" w:space="0"/>
                  </w:tcBorders>
                  <w:vAlign w:val="center"/>
                </w:tcPr>
                <w:p>
                  <w:pPr>
                    <w:adjustRightInd w:val="0"/>
                    <w:snapToGrid w:val="0"/>
                    <w:spacing w:line="240" w:lineRule="auto"/>
                    <w:ind w:firstLine="0" w:firstLineChars="0"/>
                    <w:jc w:val="center"/>
                    <w:rPr>
                      <w:b/>
                      <w:bCs/>
                      <w:sz w:val="21"/>
                      <w:szCs w:val="21"/>
                      <w:u w:val="single"/>
                    </w:rPr>
                  </w:pPr>
                </w:p>
              </w:tc>
              <w:tc>
                <w:tcPr>
                  <w:tcW w:w="2247" w:type="dxa"/>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第二类用地</w:t>
                  </w:r>
                </w:p>
              </w:tc>
              <w:tc>
                <w:tcPr>
                  <w:tcW w:w="2501" w:type="dxa"/>
                  <w:tcBorders>
                    <w:top w:val="single" w:color="auto" w:sz="4" w:space="0"/>
                    <w:left w:val="single" w:color="auto" w:sz="4" w:space="0"/>
                    <w:right w:val="single" w:color="auto" w:sz="12"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第二类用地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7908" w:type="dxa"/>
                  <w:gridSpan w:val="3"/>
                  <w:vAlign w:val="center"/>
                </w:tcPr>
                <w:p>
                  <w:pPr>
                    <w:adjustRightInd w:val="0"/>
                    <w:snapToGrid w:val="0"/>
                    <w:spacing w:line="240" w:lineRule="auto"/>
                    <w:ind w:firstLine="0" w:firstLineChars="0"/>
                    <w:jc w:val="center"/>
                    <w:rPr>
                      <w:b/>
                      <w:bCs/>
                      <w:sz w:val="21"/>
                      <w:szCs w:val="21"/>
                      <w:u w:val="single"/>
                    </w:rPr>
                  </w:pPr>
                  <w:r>
                    <w:rPr>
                      <w:b/>
                      <w:bCs/>
                      <w:sz w:val="21"/>
                      <w:szCs w:val="21"/>
                      <w:u w:val="single"/>
                    </w:rPr>
                    <w:t>重金属和无机物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7440-38-2</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镉</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7440-43-9</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铬（六价）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18540-29-9</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铜</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7440-50-8</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18000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铅</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7439-92-1</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汞</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7439-97-6</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镍</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7440-02-0</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7908" w:type="dxa"/>
                  <w:gridSpan w:val="3"/>
                  <w:vAlign w:val="center"/>
                </w:tcPr>
                <w:p>
                  <w:pPr>
                    <w:adjustRightInd w:val="0"/>
                    <w:snapToGrid w:val="0"/>
                    <w:spacing w:line="240" w:lineRule="auto"/>
                    <w:ind w:firstLine="0" w:firstLineChars="0"/>
                    <w:jc w:val="center"/>
                    <w:rPr>
                      <w:b/>
                      <w:sz w:val="21"/>
                      <w:szCs w:val="21"/>
                      <w:u w:val="single"/>
                    </w:rPr>
                  </w:pPr>
                  <w:r>
                    <w:rPr>
                      <w:b/>
                      <w:bCs/>
                      <w:sz w:val="21"/>
                      <w:szCs w:val="21"/>
                      <w:u w:val="single"/>
                    </w:rPr>
                    <w:t>挥发性有机物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四氯化碳</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56-23-5</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氯仿</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67-66-3</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氯甲烷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74-87-3</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1,1-二氯乙烷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75-34-3</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1,2-二氯乙烷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107-06-2</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1,1-二氯乙烯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75-35-4</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顺式-1,2-二氯乙烯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156-59-2</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596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反式-1,2-二氯乙烯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156-60-5</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二氯甲烷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75-09-2</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1,2-二氯丙烷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78-87-5</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1,1,1,2-四氯乙烷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630-20-6</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10</w:t>
                  </w:r>
                </w:p>
              </w:tc>
            </w:tr>
          </w:tbl>
          <w:p>
            <w:pPr>
              <w:adjustRightInd w:val="0"/>
              <w:snapToGrid w:val="0"/>
              <w:ind w:firstLine="0" w:firstLineChars="0"/>
              <w:rPr>
                <w:b/>
                <w:sz w:val="21"/>
                <w:szCs w:val="21"/>
                <w:highlight w:val="yellow"/>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74" w:hRule="atLeast"/>
          <w:jc w:val="center"/>
        </w:trPr>
        <w:tc>
          <w:tcPr>
            <w:tcW w:w="792" w:type="dxa"/>
            <w:vMerge w:val="continue"/>
            <w:vAlign w:val="center"/>
          </w:tcPr>
          <w:p>
            <w:pPr>
              <w:adjustRightInd w:val="0"/>
              <w:snapToGrid w:val="0"/>
              <w:spacing w:line="360" w:lineRule="auto"/>
              <w:ind w:firstLine="0" w:firstLineChars="0"/>
              <w:jc w:val="center"/>
              <w:rPr>
                <w:sz w:val="21"/>
                <w:szCs w:val="21"/>
                <w:highlight w:val="yellow"/>
              </w:rPr>
            </w:pPr>
          </w:p>
        </w:tc>
        <w:tc>
          <w:tcPr>
            <w:tcW w:w="8154" w:type="dxa"/>
            <w:vAlign w:val="center"/>
          </w:tcPr>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28" w:type="dxa"/>
                <w:left w:w="108" w:type="dxa"/>
                <w:bottom w:w="28" w:type="dxa"/>
                <w:right w:w="108" w:type="dxa"/>
              </w:tblCellMar>
            </w:tblPr>
            <w:tblGrid>
              <w:gridCol w:w="3160"/>
              <w:gridCol w:w="2247"/>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1,1,2,2-四氯乙烷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79-34-5</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四氯乙烯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127-18-4</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1,1,1-三氯乙烷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71-55-6</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1,1,2-三氯乙烷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79-00-5</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三氯乙烯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79-01-6</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1,2,3-三氯丙烷</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96-18-4</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氯乙烯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75-01-4</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71-43-2</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氯苯</w:t>
                  </w:r>
                </w:p>
              </w:tc>
              <w:tc>
                <w:tcPr>
                  <w:tcW w:w="2247" w:type="dxa"/>
                  <w:vAlign w:val="center"/>
                </w:tcPr>
                <w:p>
                  <w:pPr>
                    <w:adjustRightInd w:val="0"/>
                    <w:snapToGrid w:val="0"/>
                    <w:spacing w:line="240" w:lineRule="auto"/>
                    <w:ind w:firstLine="0" w:firstLineChars="0"/>
                    <w:jc w:val="center"/>
                    <w:rPr>
                      <w:b/>
                      <w:sz w:val="21"/>
                      <w:szCs w:val="21"/>
                      <w:u w:val="single"/>
                    </w:rPr>
                  </w:pPr>
                  <w:r>
                    <w:rPr>
                      <w:b/>
                      <w:sz w:val="21"/>
                      <w:szCs w:val="21"/>
                      <w:u w:val="single"/>
                    </w:rPr>
                    <w:t>108-90-7</w:t>
                  </w:r>
                </w:p>
              </w:tc>
              <w:tc>
                <w:tcPr>
                  <w:tcW w:w="2501" w:type="dxa"/>
                  <w:vAlign w:val="center"/>
                </w:tcPr>
                <w:p>
                  <w:pPr>
                    <w:adjustRightInd w:val="0"/>
                    <w:snapToGrid w:val="0"/>
                    <w:spacing w:line="240" w:lineRule="auto"/>
                    <w:ind w:firstLine="0" w:firstLineChars="0"/>
                    <w:jc w:val="center"/>
                    <w:rPr>
                      <w:b/>
                      <w:sz w:val="21"/>
                      <w:szCs w:val="21"/>
                      <w:u w:val="single"/>
                    </w:rPr>
                  </w:pPr>
                  <w:r>
                    <w:rPr>
                      <w:b/>
                      <w:sz w:val="21"/>
                      <w:szCs w:val="21"/>
                      <w:u w:val="single"/>
                    </w:rPr>
                    <w:t>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1,2-二氯苯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95-50-1</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1,4-二氯苯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106-46-7</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乙苯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100-41-4</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苯乙烯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100-42-5</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甲苯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108-88-3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间-二甲苯+对-二甲苯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108-38-3,106-42-3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邻-二甲苯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95-47-6</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640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7908" w:type="dxa"/>
                  <w:gridSpan w:val="3"/>
                  <w:vAlign w:val="center"/>
                </w:tcPr>
                <w:p>
                  <w:pPr>
                    <w:adjustRightInd w:val="0"/>
                    <w:snapToGrid w:val="0"/>
                    <w:spacing w:line="240" w:lineRule="auto"/>
                    <w:ind w:firstLine="0" w:firstLineChars="0"/>
                    <w:jc w:val="center"/>
                    <w:rPr>
                      <w:b/>
                      <w:sz w:val="21"/>
                      <w:szCs w:val="21"/>
                      <w:u w:val="single"/>
                    </w:rPr>
                  </w:pPr>
                  <w:r>
                    <w:rPr>
                      <w:b/>
                      <w:sz w:val="21"/>
                      <w:szCs w:val="21"/>
                      <w:u w:val="single"/>
                    </w:rPr>
                    <w:t>半挥发性有机物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硝基苯</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98-95-3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苯胺</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62-53-3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2-氯酚</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95-57-8</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2256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苯并[a]蒽</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56-55-3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苯并[a]芘</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50-32-8</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苯并[b]荧蒽</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205-99-2</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苯并[k]荧蒽</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207-08-9</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䓛</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218-01-9</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1293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二苯并[ah]蒽</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53-70-3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茚并[1,2,3-cd]芘</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193-39-5</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3160" w:type="dxa"/>
                  <w:vAlign w:val="center"/>
                </w:tcPr>
                <w:p>
                  <w:pPr>
                    <w:adjustRightInd w:val="0"/>
                    <w:snapToGrid w:val="0"/>
                    <w:spacing w:line="240" w:lineRule="auto"/>
                    <w:ind w:firstLine="0" w:firstLineChars="0"/>
                    <w:jc w:val="center"/>
                    <w:rPr>
                      <w:b/>
                      <w:sz w:val="21"/>
                      <w:szCs w:val="21"/>
                      <w:u w:val="single"/>
                    </w:rPr>
                  </w:pPr>
                  <w:r>
                    <w:rPr>
                      <w:b/>
                      <w:sz w:val="21"/>
                      <w:szCs w:val="21"/>
                      <w:u w:val="single"/>
                    </w:rPr>
                    <w:t>萘</w:t>
                  </w:r>
                </w:p>
              </w:tc>
              <w:tc>
                <w:tcPr>
                  <w:tcW w:w="2247" w:type="dxa"/>
                </w:tcPr>
                <w:p>
                  <w:pPr>
                    <w:adjustRightInd w:val="0"/>
                    <w:snapToGrid w:val="0"/>
                    <w:spacing w:line="240" w:lineRule="auto"/>
                    <w:ind w:firstLine="0" w:firstLineChars="0"/>
                    <w:jc w:val="center"/>
                    <w:rPr>
                      <w:b/>
                      <w:sz w:val="21"/>
                      <w:szCs w:val="21"/>
                      <w:u w:val="single"/>
                    </w:rPr>
                  </w:pPr>
                  <w:r>
                    <w:rPr>
                      <w:b/>
                      <w:sz w:val="21"/>
                      <w:szCs w:val="21"/>
                      <w:u w:val="single"/>
                    </w:rPr>
                    <w:t>91-20-3</w:t>
                  </w:r>
                </w:p>
              </w:tc>
              <w:tc>
                <w:tcPr>
                  <w:tcW w:w="2501" w:type="dxa"/>
                </w:tcPr>
                <w:p>
                  <w:pPr>
                    <w:adjustRightInd w:val="0"/>
                    <w:snapToGrid w:val="0"/>
                    <w:spacing w:line="240" w:lineRule="auto"/>
                    <w:ind w:firstLine="0" w:firstLineChars="0"/>
                    <w:jc w:val="center"/>
                    <w:rPr>
                      <w:b/>
                      <w:sz w:val="21"/>
                      <w:szCs w:val="21"/>
                      <w:u w:val="single"/>
                    </w:rPr>
                  </w:pPr>
                  <w:r>
                    <w:rPr>
                      <w:b/>
                      <w:sz w:val="21"/>
                      <w:szCs w:val="21"/>
                      <w:u w:val="single"/>
                    </w:rPr>
                    <w:t>70</w:t>
                  </w:r>
                </w:p>
              </w:tc>
            </w:tr>
          </w:tbl>
          <w:p>
            <w:pPr>
              <w:adjustRightInd w:val="0"/>
              <w:snapToGrid w:val="0"/>
              <w:spacing w:line="240" w:lineRule="auto"/>
              <w:ind w:firstLine="0" w:firstLineChars="0"/>
              <w:rPr>
                <w:b/>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95" w:hRule="atLeast"/>
          <w:jc w:val="center"/>
        </w:trPr>
        <w:tc>
          <w:tcPr>
            <w:tcW w:w="792" w:type="dxa"/>
            <w:vAlign w:val="center"/>
          </w:tcPr>
          <w:p>
            <w:pPr>
              <w:adjustRightInd w:val="0"/>
              <w:snapToGrid w:val="0"/>
              <w:spacing w:line="360" w:lineRule="auto"/>
              <w:ind w:firstLine="0" w:firstLineChars="0"/>
              <w:jc w:val="center"/>
              <w:rPr>
                <w:sz w:val="21"/>
                <w:szCs w:val="21"/>
                <w:highlight w:val="yellow"/>
              </w:rPr>
            </w:pPr>
            <w:r>
              <w:rPr>
                <w:b/>
                <w:bCs/>
                <w:sz w:val="21"/>
                <w:szCs w:val="21"/>
              </w:rPr>
              <w:t>污染物排放标准</w:t>
            </w:r>
          </w:p>
        </w:tc>
        <w:tc>
          <w:tcPr>
            <w:tcW w:w="8154" w:type="dxa"/>
            <w:vAlign w:val="center"/>
          </w:tcPr>
          <w:p>
            <w:pPr>
              <w:adjustRightInd w:val="0"/>
              <w:snapToGrid w:val="0"/>
              <w:spacing w:line="240" w:lineRule="auto"/>
              <w:ind w:firstLine="0" w:firstLineChars="0"/>
              <w:rPr>
                <w:sz w:val="21"/>
                <w:szCs w:val="21"/>
              </w:rPr>
            </w:pPr>
            <w:r>
              <w:rPr>
                <w:rFonts w:hint="eastAsia"/>
                <w:sz w:val="21"/>
                <w:szCs w:val="21"/>
              </w:rPr>
              <w:t>1、废气：《大气污染物综合排放标准》（GB16297-1996）表2二级标准：颗粒物最高允许排放浓度为120mg/m</w:t>
            </w:r>
            <w:r>
              <w:rPr>
                <w:rFonts w:hint="eastAsia"/>
                <w:sz w:val="21"/>
                <w:szCs w:val="21"/>
                <w:vertAlign w:val="superscript"/>
              </w:rPr>
              <w:t>3</w:t>
            </w:r>
            <w:r>
              <w:rPr>
                <w:rFonts w:hint="eastAsia"/>
                <w:sz w:val="21"/>
                <w:szCs w:val="21"/>
              </w:rPr>
              <w:t>，排气筒高度15m，最高允许排放速率 3.5kg/h；无组织排放：颗粒物周界外浓度最高点1.0mg/m</w:t>
            </w:r>
            <w:r>
              <w:rPr>
                <w:rFonts w:hint="eastAsia"/>
                <w:sz w:val="21"/>
                <w:szCs w:val="21"/>
                <w:vertAlign w:val="superscript"/>
              </w:rPr>
              <w:t>3</w:t>
            </w:r>
            <w:r>
              <w:rPr>
                <w:rFonts w:hint="eastAsia"/>
                <w:sz w:val="21"/>
                <w:szCs w:val="21"/>
              </w:rPr>
              <w:t>]。</w:t>
            </w:r>
          </w:p>
          <w:p>
            <w:pPr>
              <w:adjustRightInd w:val="0"/>
              <w:snapToGrid w:val="0"/>
              <w:spacing w:line="240" w:lineRule="auto"/>
              <w:ind w:firstLine="0" w:firstLineChars="0"/>
              <w:rPr>
                <w:sz w:val="21"/>
                <w:szCs w:val="21"/>
              </w:rPr>
            </w:pPr>
            <w:r>
              <w:rPr>
                <w:rFonts w:hint="eastAsia"/>
                <w:sz w:val="21"/>
                <w:szCs w:val="21"/>
              </w:rPr>
              <w:t>2、噪声：运营期厂界噪声执行《工业企业厂界环境噪声排放标准》（GB12348-2008）中的</w:t>
            </w:r>
            <w:r>
              <w:rPr>
                <w:sz w:val="21"/>
                <w:szCs w:val="21"/>
              </w:rPr>
              <w:t>2</w:t>
            </w:r>
            <w:r>
              <w:rPr>
                <w:rFonts w:hint="eastAsia"/>
                <w:sz w:val="21"/>
                <w:szCs w:val="21"/>
              </w:rPr>
              <w:t>类标准（昼间：6</w:t>
            </w:r>
            <w:r>
              <w:rPr>
                <w:sz w:val="21"/>
                <w:szCs w:val="21"/>
              </w:rPr>
              <w:t>0</w:t>
            </w:r>
            <w:r>
              <w:rPr>
                <w:rFonts w:hint="eastAsia"/>
                <w:sz w:val="21"/>
                <w:szCs w:val="21"/>
              </w:rPr>
              <w:t>dB（A），夜间：5</w:t>
            </w:r>
            <w:r>
              <w:rPr>
                <w:sz w:val="21"/>
                <w:szCs w:val="21"/>
              </w:rPr>
              <w:t>0</w:t>
            </w:r>
            <w:r>
              <w:rPr>
                <w:rFonts w:hint="eastAsia"/>
                <w:sz w:val="21"/>
                <w:szCs w:val="21"/>
              </w:rPr>
              <w:t>dB（A））。</w:t>
            </w:r>
          </w:p>
          <w:p>
            <w:pPr>
              <w:adjustRightInd w:val="0"/>
              <w:snapToGrid w:val="0"/>
              <w:spacing w:line="240" w:lineRule="auto"/>
              <w:ind w:firstLine="0" w:firstLineChars="0"/>
              <w:rPr>
                <w:b/>
                <w:sz w:val="21"/>
                <w:szCs w:val="21"/>
                <w:u w:val="single"/>
              </w:rPr>
            </w:pPr>
            <w:r>
              <w:rPr>
                <w:rFonts w:hint="eastAsia"/>
                <w:b/>
                <w:sz w:val="21"/>
                <w:szCs w:val="21"/>
                <w:u w:val="single"/>
              </w:rPr>
              <w:t>3、一般固废：执行《一般工业固体废物贮存、处置场污染物控制标准》（GB18599-2001）及修改单；</w:t>
            </w:r>
          </w:p>
          <w:p>
            <w:pPr>
              <w:adjustRightInd w:val="0"/>
              <w:snapToGrid w:val="0"/>
              <w:spacing w:line="240" w:lineRule="auto"/>
              <w:ind w:firstLine="0" w:firstLineChars="0"/>
            </w:pPr>
            <w:r>
              <w:rPr>
                <w:rFonts w:hint="eastAsia"/>
                <w:b/>
                <w:sz w:val="21"/>
                <w:szCs w:val="21"/>
                <w:u w:val="single"/>
              </w:rPr>
              <w:t>4、</w:t>
            </w:r>
            <w:r>
              <w:rPr>
                <w:b/>
                <w:sz w:val="21"/>
                <w:szCs w:val="21"/>
                <w:u w:val="single"/>
              </w:rPr>
              <w:t>危险固废贮存、处置执行《危险废物贮存污染控制标准》（GB18597-2001）及2013年修改单中的有关规定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7" w:hRule="atLeast"/>
          <w:jc w:val="center"/>
        </w:trPr>
        <w:tc>
          <w:tcPr>
            <w:tcW w:w="792" w:type="dxa"/>
            <w:vAlign w:val="center"/>
          </w:tcPr>
          <w:p>
            <w:pPr>
              <w:adjustRightInd w:val="0"/>
              <w:snapToGrid w:val="0"/>
              <w:spacing w:line="240" w:lineRule="auto"/>
              <w:ind w:firstLine="0" w:firstLineChars="0"/>
              <w:jc w:val="center"/>
              <w:rPr>
                <w:rFonts w:eastAsia="黑体"/>
                <w:sz w:val="21"/>
                <w:szCs w:val="21"/>
              </w:rPr>
            </w:pPr>
            <w:r>
              <w:rPr>
                <w:b/>
                <w:bCs/>
                <w:sz w:val="21"/>
                <w:szCs w:val="21"/>
              </w:rPr>
              <w:t>总量控制指标</w:t>
            </w:r>
          </w:p>
        </w:tc>
        <w:tc>
          <w:tcPr>
            <w:tcW w:w="8154" w:type="dxa"/>
            <w:vAlign w:val="center"/>
          </w:tcPr>
          <w:p>
            <w:pPr>
              <w:adjustRightInd w:val="0"/>
              <w:snapToGrid w:val="0"/>
              <w:spacing w:line="240" w:lineRule="auto"/>
              <w:ind w:firstLine="0" w:firstLineChars="0"/>
              <w:jc w:val="both"/>
              <w:rPr>
                <w:b/>
                <w:sz w:val="21"/>
                <w:szCs w:val="21"/>
                <w:u w:val="single"/>
              </w:rPr>
            </w:pPr>
            <w:r>
              <w:rPr>
                <w:rFonts w:hint="eastAsia"/>
                <w:b/>
                <w:sz w:val="21"/>
                <w:szCs w:val="21"/>
                <w:u w:val="single"/>
              </w:rPr>
              <w:t>本项目产生的废气为粉尘，不涉及</w:t>
            </w:r>
            <w:r>
              <w:rPr>
                <w:b/>
                <w:sz w:val="21"/>
                <w:szCs w:val="21"/>
                <w:u w:val="single"/>
              </w:rPr>
              <w:t>SO</w:t>
            </w:r>
            <w:r>
              <w:rPr>
                <w:b/>
                <w:sz w:val="21"/>
                <w:szCs w:val="21"/>
                <w:u w:val="single"/>
                <w:vertAlign w:val="subscript"/>
              </w:rPr>
              <w:t>2</w:t>
            </w:r>
            <w:r>
              <w:rPr>
                <w:rFonts w:hint="eastAsia"/>
                <w:b/>
                <w:sz w:val="21"/>
                <w:szCs w:val="21"/>
                <w:u w:val="single"/>
              </w:rPr>
              <w:t>和</w:t>
            </w:r>
            <w:r>
              <w:rPr>
                <w:b/>
                <w:sz w:val="21"/>
                <w:szCs w:val="21"/>
                <w:u w:val="single"/>
              </w:rPr>
              <w:t>NO</w:t>
            </w:r>
            <w:r>
              <w:rPr>
                <w:b/>
                <w:sz w:val="21"/>
                <w:szCs w:val="21"/>
                <w:u w:val="single"/>
                <w:vertAlign w:val="subscript"/>
              </w:rPr>
              <w:t>X</w:t>
            </w:r>
            <w:r>
              <w:rPr>
                <w:rFonts w:hint="eastAsia"/>
                <w:b/>
                <w:sz w:val="21"/>
                <w:szCs w:val="21"/>
                <w:u w:val="single"/>
              </w:rPr>
              <w:t>，粉尘产生量为0</w:t>
            </w:r>
            <w:r>
              <w:rPr>
                <w:b/>
                <w:sz w:val="21"/>
                <w:szCs w:val="21"/>
                <w:u w:val="single"/>
              </w:rPr>
              <w:t>.05526</w:t>
            </w:r>
            <w:r>
              <w:rPr>
                <w:rFonts w:hint="eastAsia"/>
                <w:b/>
                <w:sz w:val="21"/>
                <w:szCs w:val="21"/>
                <w:u w:val="single"/>
              </w:rPr>
              <w:t>t/a。</w:t>
            </w:r>
          </w:p>
          <w:p>
            <w:pPr>
              <w:adjustRightInd w:val="0"/>
              <w:snapToGrid w:val="0"/>
              <w:spacing w:line="240" w:lineRule="auto"/>
              <w:ind w:firstLine="0" w:firstLineChars="0"/>
              <w:jc w:val="both"/>
              <w:rPr>
                <w:sz w:val="21"/>
                <w:szCs w:val="21"/>
              </w:rPr>
            </w:pPr>
            <w:r>
              <w:rPr>
                <w:b/>
                <w:sz w:val="21"/>
                <w:szCs w:val="21"/>
                <w:u w:val="single"/>
              </w:rPr>
              <w:t>本项目生活污水产生量为576m</w:t>
            </w:r>
            <w:r>
              <w:rPr>
                <w:b/>
                <w:sz w:val="21"/>
                <w:szCs w:val="21"/>
                <w:u w:val="single"/>
                <w:vertAlign w:val="superscript"/>
              </w:rPr>
              <w:t>3</w:t>
            </w:r>
            <w:r>
              <w:rPr>
                <w:b/>
                <w:sz w:val="21"/>
                <w:szCs w:val="21"/>
                <w:u w:val="single"/>
              </w:rPr>
              <w:t>/a，化粪池处理后</w:t>
            </w:r>
            <w:r>
              <w:rPr>
                <w:rFonts w:hint="eastAsia"/>
                <w:b/>
                <w:sz w:val="21"/>
                <w:szCs w:val="21"/>
                <w:u w:val="single"/>
              </w:rPr>
              <w:t>由附近村民拉走肥田，综合利用不外排。因此本项目总量控制指标为：颗粒物：0</w:t>
            </w:r>
            <w:r>
              <w:rPr>
                <w:b/>
                <w:sz w:val="21"/>
                <w:szCs w:val="21"/>
                <w:u w:val="single"/>
              </w:rPr>
              <w:t>.05526t/a</w:t>
            </w:r>
            <w:r>
              <w:rPr>
                <w:rFonts w:hint="eastAsia"/>
                <w:b/>
                <w:sz w:val="21"/>
                <w:szCs w:val="21"/>
                <w:u w:val="single"/>
              </w:rPr>
              <w:t>。</w:t>
            </w:r>
          </w:p>
        </w:tc>
      </w:tr>
    </w:tbl>
    <w:p>
      <w:pPr>
        <w:spacing w:line="240" w:lineRule="auto"/>
        <w:ind w:left="-120" w:leftChars="-50" w:firstLine="0" w:firstLineChars="0"/>
        <w:rPr>
          <w:b/>
          <w:sz w:val="30"/>
          <w:szCs w:val="30"/>
        </w:rPr>
      </w:pPr>
      <w:r>
        <w:rPr>
          <w:rFonts w:hint="eastAsia"/>
          <w:b/>
          <w:sz w:val="30"/>
          <w:szCs w:val="30"/>
        </w:rPr>
        <w:t>建设项目工程分析</w:t>
      </w:r>
    </w:p>
    <w:tbl>
      <w:tblPr>
        <w:tblStyle w:val="20"/>
        <w:tblW w:w="864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4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605" w:hRule="atLeast"/>
        </w:trPr>
        <w:tc>
          <w:tcPr>
            <w:tcW w:w="8649" w:type="dxa"/>
            <w:tcBorders>
              <w:top w:val="single" w:color="auto" w:sz="12" w:space="0"/>
              <w:bottom w:val="single" w:color="auto" w:sz="12" w:space="0"/>
            </w:tcBorders>
          </w:tcPr>
          <w:p>
            <w:pPr>
              <w:adjustRightInd w:val="0"/>
              <w:snapToGrid w:val="0"/>
              <w:ind w:firstLine="0" w:firstLineChars="0"/>
              <w:rPr>
                <w:b/>
                <w:bCs/>
              </w:rPr>
            </w:pPr>
            <w:r>
              <w:rPr>
                <w:b/>
                <w:bCs/>
              </w:rPr>
              <w:t>一、施工期工程分析及产污环节分析：</w:t>
            </w:r>
          </w:p>
          <w:p>
            <w:pPr>
              <w:adjustRightInd w:val="0"/>
              <w:snapToGrid w:val="0"/>
              <w:ind w:firstLine="480"/>
            </w:pPr>
            <w:r>
              <w:rPr>
                <w:rFonts w:hint="eastAsia"/>
              </w:rPr>
              <w:t>本项目租赁厂房，故不再对施工期进行分析。</w:t>
            </w:r>
          </w:p>
          <w:p>
            <w:pPr>
              <w:ind w:firstLine="0" w:firstLineChars="0"/>
              <w:rPr>
                <w:bCs/>
              </w:rPr>
            </w:pPr>
            <w:r>
              <w:rPr>
                <w:b/>
                <w:bCs/>
              </w:rPr>
              <w:t>二、运营期工艺流程及产污环节</w:t>
            </w:r>
          </w:p>
          <w:p>
            <w:pPr>
              <w:spacing w:line="480" w:lineRule="exact"/>
              <w:ind w:firstLine="482"/>
              <w:rPr>
                <w:b/>
                <w:bCs/>
              </w:rPr>
            </w:pPr>
            <w:r>
              <w:rPr>
                <w:b/>
                <w:bCs/>
              </w:rPr>
              <w:t>1、生产工艺过程</w:t>
            </w:r>
          </w:p>
          <w:p>
            <w:pPr>
              <w:spacing w:line="480" w:lineRule="exact"/>
              <w:ind w:firstLine="480"/>
              <w:rPr>
                <w:bCs/>
              </w:rPr>
            </w:pPr>
            <w:r>
              <w:rPr>
                <w:bCs/>
              </w:rPr>
              <w:t>具体生产工艺流程及产污环节见图1。</w:t>
            </w:r>
          </w:p>
          <w:p>
            <w:pPr>
              <w:adjustRightInd w:val="0"/>
              <w:snapToGrid w:val="0"/>
              <w:spacing w:line="240" w:lineRule="auto"/>
              <w:ind w:firstLine="0" w:firstLineChars="0"/>
              <w:jc w:val="center"/>
            </w:pPr>
            <w:r>
              <w:object>
                <v:shape id="_x0000_i1026" o:spt="75" type="#_x0000_t75" style="height:73.8pt;width:421.2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spacing w:line="480" w:lineRule="exact"/>
              <w:ind w:firstLine="480"/>
              <w:rPr>
                <w:bCs/>
              </w:rPr>
            </w:pPr>
            <w:r>
              <w:rPr>
                <w:bCs/>
              </w:rPr>
              <w:t>2、工艺流程简述</w:t>
            </w:r>
          </w:p>
          <w:p>
            <w:pPr>
              <w:spacing w:line="480" w:lineRule="exact"/>
              <w:ind w:firstLine="482"/>
              <w:rPr>
                <w:b/>
                <w:bCs/>
                <w:u w:val="single"/>
              </w:rPr>
            </w:pPr>
            <w:r>
              <w:rPr>
                <w:rFonts w:hint="eastAsia"/>
                <w:b/>
                <w:bCs/>
                <w:u w:val="single"/>
              </w:rPr>
              <w:t>本项目外购铝板为原材料，部分铝板需根据产品需求剪切加工成所需尺寸，剪切是利用切割机对板材施加剪切力，使板材按所需要的尺寸断裂分离；接着利用冲压设备把所需材料从板类母材上分离出来，在冲压出来的板材上采用雕刻机根据客户的需求雕刻出花型；并刨出卡槽，在卡槽处利用折弯机进行折弯处理，在机加工过程中会产生</w:t>
            </w:r>
            <w:r>
              <w:rPr>
                <w:b/>
                <w:bCs/>
                <w:u w:val="single"/>
              </w:rPr>
              <w:t>废铝</w:t>
            </w:r>
            <w:r>
              <w:rPr>
                <w:rFonts w:hint="eastAsia"/>
                <w:b/>
                <w:bCs/>
                <w:u w:val="single"/>
              </w:rPr>
              <w:t>边角料、废润滑油；机加工好的组件进行焊接，焊接过程中会产生焊接烟尘及焊渣；焊接好以后对表面进行打磨，再用抛光机进行更细致的抛光使其表面光滑。打磨过程和抛光过程会产生粉尘。根据设计图纸进行组装，组装完成后即为成品。</w:t>
            </w:r>
          </w:p>
          <w:p>
            <w:pPr>
              <w:spacing w:line="480" w:lineRule="exact"/>
              <w:ind w:firstLine="480"/>
              <w:rPr>
                <w:bCs/>
              </w:rPr>
            </w:pPr>
            <w:r>
              <w:rPr>
                <w:bCs/>
              </w:rPr>
              <w:t>运营期主要污染工序：</w:t>
            </w:r>
          </w:p>
          <w:p>
            <w:pPr>
              <w:spacing w:line="480" w:lineRule="exact"/>
              <w:ind w:firstLine="480"/>
              <w:rPr>
                <w:bCs/>
              </w:rPr>
            </w:pPr>
            <w:r>
              <w:rPr>
                <w:bCs/>
              </w:rPr>
              <w:t>（1）废水</w:t>
            </w:r>
          </w:p>
          <w:p>
            <w:pPr>
              <w:spacing w:line="480" w:lineRule="exact"/>
              <w:ind w:firstLine="480"/>
              <w:rPr>
                <w:bCs/>
              </w:rPr>
            </w:pPr>
            <w:r>
              <w:rPr>
                <w:bCs/>
              </w:rPr>
              <w:t>项目生产过程中无废水产生，运营期废水主要为员工产生的生活污水。</w:t>
            </w:r>
          </w:p>
          <w:p>
            <w:pPr>
              <w:spacing w:line="480" w:lineRule="exact"/>
              <w:ind w:firstLine="482"/>
              <w:rPr>
                <w:b/>
                <w:bCs/>
                <w:u w:val="single"/>
              </w:rPr>
            </w:pPr>
            <w:r>
              <w:rPr>
                <w:b/>
                <w:bCs/>
                <w:u w:val="single"/>
              </w:rPr>
              <w:t>（2）废气</w:t>
            </w:r>
          </w:p>
          <w:p>
            <w:pPr>
              <w:spacing w:line="480" w:lineRule="exact"/>
              <w:ind w:firstLine="482"/>
              <w:rPr>
                <w:b/>
                <w:bCs/>
                <w:u w:val="single"/>
              </w:rPr>
            </w:pPr>
            <w:r>
              <w:rPr>
                <w:rFonts w:hint="eastAsia"/>
                <w:b/>
                <w:bCs/>
                <w:u w:val="single"/>
              </w:rPr>
              <w:t>切割粉尘：产生于切割、雕刻工序，主要污染因子为颗粒物。</w:t>
            </w:r>
          </w:p>
          <w:p>
            <w:pPr>
              <w:spacing w:line="480" w:lineRule="exact"/>
              <w:ind w:firstLine="482"/>
              <w:rPr>
                <w:b/>
                <w:bCs/>
                <w:u w:val="single"/>
              </w:rPr>
            </w:pPr>
            <w:r>
              <w:rPr>
                <w:rFonts w:hint="eastAsia"/>
                <w:b/>
                <w:bCs/>
                <w:u w:val="single"/>
              </w:rPr>
              <w:t>焊接烟尘</w:t>
            </w:r>
            <w:r>
              <w:rPr>
                <w:b/>
                <w:bCs/>
                <w:u w:val="single"/>
              </w:rPr>
              <w:t>：</w:t>
            </w:r>
            <w:r>
              <w:rPr>
                <w:rFonts w:hint="eastAsia"/>
                <w:b/>
                <w:bCs/>
                <w:u w:val="single"/>
              </w:rPr>
              <w:t>产生于焊接工序，</w:t>
            </w:r>
            <w:r>
              <w:rPr>
                <w:b/>
                <w:bCs/>
                <w:u w:val="single"/>
              </w:rPr>
              <w:t>主要污染因子为</w:t>
            </w:r>
            <w:r>
              <w:rPr>
                <w:rFonts w:hint="eastAsia"/>
                <w:b/>
                <w:bCs/>
                <w:u w:val="single"/>
              </w:rPr>
              <w:t>颗粒物。</w:t>
            </w:r>
          </w:p>
          <w:p>
            <w:pPr>
              <w:spacing w:line="480" w:lineRule="exact"/>
              <w:ind w:firstLine="482"/>
              <w:rPr>
                <w:b/>
                <w:bCs/>
                <w:u w:val="single"/>
              </w:rPr>
            </w:pPr>
            <w:r>
              <w:rPr>
                <w:b/>
                <w:bCs/>
                <w:u w:val="single"/>
              </w:rPr>
              <w:t>打磨粉尘：产生于打磨</w:t>
            </w:r>
            <w:r>
              <w:rPr>
                <w:rFonts w:hint="eastAsia"/>
                <w:b/>
                <w:bCs/>
                <w:u w:val="single"/>
              </w:rPr>
              <w:t>、抛光</w:t>
            </w:r>
            <w:r>
              <w:rPr>
                <w:b/>
                <w:bCs/>
                <w:u w:val="single"/>
              </w:rPr>
              <w:t>工序，主要污染因子为</w:t>
            </w:r>
            <w:r>
              <w:rPr>
                <w:rFonts w:hint="eastAsia"/>
                <w:b/>
                <w:bCs/>
                <w:u w:val="single"/>
              </w:rPr>
              <w:t>颗粒物</w:t>
            </w:r>
          </w:p>
          <w:p>
            <w:pPr>
              <w:spacing w:line="480" w:lineRule="exact"/>
              <w:ind w:firstLine="480"/>
              <w:rPr>
                <w:bCs/>
              </w:rPr>
            </w:pPr>
            <w:r>
              <w:rPr>
                <w:bCs/>
              </w:rPr>
              <w:t>（3）噪声</w:t>
            </w:r>
          </w:p>
          <w:p>
            <w:pPr>
              <w:spacing w:line="480" w:lineRule="exact"/>
              <w:ind w:firstLine="480"/>
              <w:rPr>
                <w:bCs/>
              </w:rPr>
            </w:pPr>
            <w:r>
              <w:rPr>
                <w:bCs/>
              </w:rPr>
              <w:t>项目</w:t>
            </w:r>
            <w:r>
              <w:rPr>
                <w:rFonts w:hint="eastAsia"/>
                <w:bCs/>
              </w:rPr>
              <w:t>生产过程中高噪声设备</w:t>
            </w:r>
            <w:r>
              <w:rPr>
                <w:bCs/>
              </w:rPr>
              <w:t>产生的噪声。</w:t>
            </w:r>
          </w:p>
          <w:p>
            <w:pPr>
              <w:spacing w:line="480" w:lineRule="exact"/>
              <w:ind w:firstLine="480"/>
              <w:rPr>
                <w:bCs/>
              </w:rPr>
            </w:pPr>
            <w:r>
              <w:rPr>
                <w:bCs/>
              </w:rPr>
              <w:t>（4）固体废物</w:t>
            </w:r>
          </w:p>
          <w:p>
            <w:pPr>
              <w:spacing w:line="360" w:lineRule="auto"/>
              <w:ind w:firstLine="482"/>
              <w:rPr>
                <w:b/>
                <w:u w:val="single"/>
              </w:rPr>
            </w:pPr>
            <w:r>
              <w:rPr>
                <w:b/>
                <w:bCs/>
                <w:u w:val="single"/>
              </w:rPr>
              <w:t>项目运营期产生的固体废物</w:t>
            </w:r>
            <w:r>
              <w:rPr>
                <w:rFonts w:hint="eastAsia"/>
                <w:b/>
                <w:u w:val="single"/>
              </w:rPr>
              <w:t>主要包括一般固废、危险固废和生活垃圾。</w:t>
            </w:r>
          </w:p>
          <w:p>
            <w:pPr>
              <w:spacing w:line="360" w:lineRule="auto"/>
              <w:ind w:firstLine="482"/>
              <w:rPr>
                <w:b/>
                <w:u w:val="single"/>
              </w:rPr>
            </w:pPr>
            <w:r>
              <w:rPr>
                <w:rFonts w:hint="eastAsia"/>
                <w:b/>
                <w:u w:val="single"/>
              </w:rPr>
              <w:t>①</w:t>
            </w:r>
            <w:r>
              <w:rPr>
                <w:b/>
                <w:u w:val="single"/>
              </w:rPr>
              <w:t>一般工业固体废物</w:t>
            </w:r>
          </w:p>
          <w:p>
            <w:pPr>
              <w:spacing w:line="360" w:lineRule="auto"/>
              <w:ind w:firstLine="482"/>
              <w:rPr>
                <w:b/>
                <w:u w:val="single"/>
              </w:rPr>
            </w:pPr>
            <w:r>
              <w:rPr>
                <w:b/>
                <w:u w:val="single"/>
              </w:rPr>
              <w:t>一般工业</w:t>
            </w:r>
            <w:r>
              <w:rPr>
                <w:rFonts w:hint="eastAsia"/>
                <w:b/>
                <w:u w:val="single"/>
              </w:rPr>
              <w:t>固体</w:t>
            </w:r>
            <w:r>
              <w:rPr>
                <w:b/>
                <w:u w:val="single"/>
              </w:rPr>
              <w:t>废物主要为</w:t>
            </w:r>
            <w:r>
              <w:rPr>
                <w:rFonts w:hint="eastAsia"/>
                <w:b/>
                <w:u w:val="single"/>
              </w:rPr>
              <w:t>切割雕刻工序产生的废边角料、废金属屑以及焊接工序产生的废焊渣</w:t>
            </w:r>
            <w:r>
              <w:rPr>
                <w:b/>
                <w:u w:val="single"/>
              </w:rPr>
              <w:t>。</w:t>
            </w:r>
          </w:p>
          <w:p>
            <w:pPr>
              <w:spacing w:line="360" w:lineRule="auto"/>
              <w:ind w:firstLine="482"/>
              <w:rPr>
                <w:b/>
                <w:u w:val="single"/>
              </w:rPr>
            </w:pPr>
            <w:r>
              <w:rPr>
                <w:rFonts w:hint="eastAsia"/>
                <w:b/>
                <w:u w:val="single"/>
              </w:rPr>
              <w:t>②危险废物</w:t>
            </w:r>
          </w:p>
          <w:p>
            <w:pPr>
              <w:spacing w:line="360" w:lineRule="auto"/>
              <w:ind w:firstLine="482"/>
              <w:rPr>
                <w:b/>
                <w:u w:val="single"/>
              </w:rPr>
            </w:pPr>
            <w:r>
              <w:rPr>
                <w:b/>
                <w:u w:val="single"/>
              </w:rPr>
              <w:t>项目产生的危险废物主要为</w:t>
            </w:r>
            <w:r>
              <w:rPr>
                <w:rFonts w:hint="eastAsia"/>
                <w:b/>
                <w:u w:val="single"/>
              </w:rPr>
              <w:t>折弯机、冲压机等设备产生的废液压油和切割机等产生的废切削液。</w:t>
            </w:r>
          </w:p>
          <w:p>
            <w:pPr>
              <w:spacing w:line="360" w:lineRule="auto"/>
              <w:ind w:firstLine="482"/>
              <w:rPr>
                <w:b/>
                <w:u w:val="single"/>
              </w:rPr>
            </w:pPr>
            <w:r>
              <w:rPr>
                <w:rFonts w:hint="eastAsia" w:ascii="宋体" w:hAnsi="宋体" w:cs="宋体"/>
                <w:b/>
                <w:u w:val="single"/>
              </w:rPr>
              <w:t>③</w:t>
            </w:r>
            <w:r>
              <w:rPr>
                <w:b/>
                <w:u w:val="single"/>
              </w:rPr>
              <w:t>职工生活垃圾</w:t>
            </w:r>
          </w:p>
          <w:p>
            <w:pPr>
              <w:spacing w:line="360" w:lineRule="auto"/>
              <w:ind w:firstLine="482"/>
              <w:rPr>
                <w:b/>
                <w:u w:val="single"/>
              </w:rPr>
            </w:pPr>
            <w:r>
              <w:rPr>
                <w:b/>
                <w:u w:val="single"/>
              </w:rPr>
              <w:t>本项目</w:t>
            </w:r>
            <w:r>
              <w:rPr>
                <w:rFonts w:hint="eastAsia"/>
                <w:b/>
                <w:u w:val="single"/>
              </w:rPr>
              <w:t>劳动定员</w:t>
            </w:r>
            <w:r>
              <w:rPr>
                <w:b/>
                <w:u w:val="single"/>
              </w:rPr>
              <w:t>40</w:t>
            </w:r>
            <w:r>
              <w:rPr>
                <w:rFonts w:hint="eastAsia"/>
                <w:b/>
                <w:u w:val="single"/>
              </w:rPr>
              <w:t>人</w:t>
            </w:r>
            <w:r>
              <w:rPr>
                <w:b/>
                <w:u w:val="single"/>
              </w:rPr>
              <w:t>，以每人每天产生生活垃圾0.5kg计，则生活垃圾产生量为6.0t/a。</w:t>
            </w:r>
          </w:p>
          <w:p>
            <w:pPr>
              <w:spacing w:line="480" w:lineRule="exact"/>
              <w:ind w:firstLine="480"/>
              <w:rPr>
                <w:bCs/>
              </w:rPr>
            </w:pPr>
          </w:p>
        </w:tc>
      </w:tr>
    </w:tbl>
    <w:p>
      <w:pPr>
        <w:spacing w:line="360" w:lineRule="auto"/>
        <w:ind w:firstLine="0" w:firstLineChars="0"/>
        <w:rPr>
          <w:b/>
          <w:sz w:val="30"/>
          <w:szCs w:val="30"/>
          <w:highlight w:val="yellow"/>
        </w:rPr>
        <w:sectPr>
          <w:pgSz w:w="11906" w:h="16838"/>
          <w:pgMar w:top="1701" w:right="1588" w:bottom="1985" w:left="1588" w:header="851" w:footer="992" w:gutter="0"/>
          <w:cols w:space="720" w:num="1"/>
          <w:docGrid w:type="linesAndChars" w:linePitch="312" w:charSpace="0"/>
        </w:sectPr>
      </w:pPr>
    </w:p>
    <w:p>
      <w:pPr>
        <w:spacing w:line="360" w:lineRule="auto"/>
        <w:ind w:firstLine="0" w:firstLineChars="0"/>
        <w:rPr>
          <w:b/>
          <w:sz w:val="30"/>
        </w:rPr>
      </w:pPr>
      <w:r>
        <w:rPr>
          <w:rFonts w:hint="eastAsia"/>
          <w:b/>
          <w:sz w:val="30"/>
          <w:szCs w:val="30"/>
        </w:rPr>
        <w:t>项目运营期主要污染物产生及预计排放情况</w:t>
      </w:r>
    </w:p>
    <w:tbl>
      <w:tblPr>
        <w:tblStyle w:val="20"/>
        <w:tblW w:w="84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
        <w:gridCol w:w="1276"/>
        <w:gridCol w:w="1418"/>
        <w:gridCol w:w="2409"/>
        <w:gridCol w:w="2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1012" w:type="dxa"/>
            <w:tcBorders>
              <w:tl2br w:val="single" w:color="auto" w:sz="4" w:space="0"/>
            </w:tcBorders>
          </w:tcPr>
          <w:p>
            <w:pPr>
              <w:spacing w:line="360" w:lineRule="exact"/>
              <w:ind w:firstLine="0" w:firstLineChars="0"/>
              <w:jc w:val="center"/>
              <w:rPr>
                <w:b/>
              </w:rPr>
            </w:pPr>
            <w:r>
              <w:rPr>
                <w:b/>
              </w:rPr>
              <w:t xml:space="preserve">  内容  </w:t>
            </w:r>
          </w:p>
          <w:p>
            <w:pPr>
              <w:spacing w:line="360" w:lineRule="exact"/>
              <w:ind w:firstLine="0" w:firstLineChars="0"/>
              <w:jc w:val="both"/>
              <w:rPr>
                <w:b/>
              </w:rPr>
            </w:pPr>
            <w:r>
              <w:rPr>
                <w:b/>
              </w:rPr>
              <w:t>类型</w:t>
            </w:r>
          </w:p>
        </w:tc>
        <w:tc>
          <w:tcPr>
            <w:tcW w:w="1276" w:type="dxa"/>
            <w:vAlign w:val="center"/>
          </w:tcPr>
          <w:p>
            <w:pPr>
              <w:spacing w:line="360" w:lineRule="exact"/>
              <w:ind w:firstLine="0" w:firstLineChars="0"/>
              <w:jc w:val="center"/>
              <w:rPr>
                <w:b/>
              </w:rPr>
            </w:pPr>
            <w:r>
              <w:rPr>
                <w:b/>
              </w:rPr>
              <w:t>排放源</w:t>
            </w:r>
          </w:p>
          <w:p>
            <w:pPr>
              <w:spacing w:line="360" w:lineRule="exact"/>
              <w:ind w:firstLine="0" w:firstLineChars="0"/>
              <w:jc w:val="center"/>
              <w:rPr>
                <w:b/>
              </w:rPr>
            </w:pPr>
            <w:r>
              <w:rPr>
                <w:b/>
              </w:rPr>
              <w:t>（编号）</w:t>
            </w:r>
          </w:p>
        </w:tc>
        <w:tc>
          <w:tcPr>
            <w:tcW w:w="1418" w:type="dxa"/>
            <w:vAlign w:val="center"/>
          </w:tcPr>
          <w:p>
            <w:pPr>
              <w:spacing w:line="360" w:lineRule="exact"/>
              <w:ind w:firstLine="0" w:firstLineChars="0"/>
              <w:jc w:val="center"/>
              <w:rPr>
                <w:b/>
              </w:rPr>
            </w:pPr>
            <w:r>
              <w:rPr>
                <w:b/>
              </w:rPr>
              <w:t>污染物</w:t>
            </w:r>
          </w:p>
          <w:p>
            <w:pPr>
              <w:spacing w:line="360" w:lineRule="exact"/>
              <w:ind w:firstLine="0" w:firstLineChars="0"/>
              <w:jc w:val="center"/>
              <w:rPr>
                <w:b/>
              </w:rPr>
            </w:pPr>
            <w:r>
              <w:rPr>
                <w:b/>
              </w:rPr>
              <w:t>名称</w:t>
            </w:r>
          </w:p>
        </w:tc>
        <w:tc>
          <w:tcPr>
            <w:tcW w:w="2409" w:type="dxa"/>
            <w:vAlign w:val="center"/>
          </w:tcPr>
          <w:p>
            <w:pPr>
              <w:spacing w:line="360" w:lineRule="exact"/>
              <w:ind w:firstLine="0" w:firstLineChars="0"/>
              <w:jc w:val="center"/>
              <w:rPr>
                <w:b/>
              </w:rPr>
            </w:pPr>
            <w:r>
              <w:rPr>
                <w:b/>
              </w:rPr>
              <w:t>处理前产生</w:t>
            </w:r>
          </w:p>
          <w:p>
            <w:pPr>
              <w:spacing w:line="360" w:lineRule="exact"/>
              <w:ind w:firstLine="0" w:firstLineChars="0"/>
              <w:jc w:val="center"/>
              <w:rPr>
                <w:b/>
              </w:rPr>
            </w:pPr>
            <w:r>
              <w:rPr>
                <w:b/>
              </w:rPr>
              <w:t>浓度及产生量</w:t>
            </w:r>
          </w:p>
        </w:tc>
        <w:tc>
          <w:tcPr>
            <w:tcW w:w="2370" w:type="dxa"/>
            <w:vAlign w:val="center"/>
          </w:tcPr>
          <w:p>
            <w:pPr>
              <w:spacing w:line="360" w:lineRule="exact"/>
              <w:ind w:firstLine="0" w:firstLineChars="0"/>
              <w:jc w:val="center"/>
              <w:rPr>
                <w:b/>
              </w:rPr>
            </w:pPr>
            <w:r>
              <w:rPr>
                <w:b/>
              </w:rPr>
              <w:t>排放浓度</w:t>
            </w:r>
          </w:p>
          <w:p>
            <w:pPr>
              <w:spacing w:line="360" w:lineRule="exact"/>
              <w:ind w:firstLine="0" w:firstLineChars="0"/>
              <w:jc w:val="center"/>
              <w:rPr>
                <w:b/>
              </w:rPr>
            </w:pPr>
            <w:r>
              <w:rPr>
                <w:b/>
              </w:rPr>
              <w:t>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restart"/>
            <w:vAlign w:val="center"/>
          </w:tcPr>
          <w:p>
            <w:pPr>
              <w:ind w:firstLine="0" w:firstLineChars="0"/>
              <w:jc w:val="center"/>
              <w:rPr>
                <w:b/>
              </w:rPr>
            </w:pPr>
            <w:r>
              <w:rPr>
                <w:b/>
              </w:rPr>
              <w:t>水污</w:t>
            </w:r>
          </w:p>
          <w:p>
            <w:pPr>
              <w:ind w:firstLine="0" w:firstLineChars="0"/>
              <w:jc w:val="center"/>
              <w:rPr>
                <w:b/>
              </w:rPr>
            </w:pPr>
            <w:r>
              <w:rPr>
                <w:b/>
              </w:rPr>
              <w:t>染物</w:t>
            </w:r>
          </w:p>
        </w:tc>
        <w:tc>
          <w:tcPr>
            <w:tcW w:w="1276" w:type="dxa"/>
            <w:vMerge w:val="restart"/>
            <w:vAlign w:val="center"/>
          </w:tcPr>
          <w:p>
            <w:pPr>
              <w:adjustRightInd w:val="0"/>
              <w:snapToGrid w:val="0"/>
              <w:ind w:firstLine="0" w:firstLineChars="0"/>
              <w:jc w:val="center"/>
            </w:pPr>
            <w:r>
              <w:t>生活污水</w:t>
            </w:r>
          </w:p>
        </w:tc>
        <w:tc>
          <w:tcPr>
            <w:tcW w:w="1418" w:type="dxa"/>
            <w:vAlign w:val="center"/>
          </w:tcPr>
          <w:p>
            <w:pPr>
              <w:adjustRightInd w:val="0"/>
              <w:snapToGrid w:val="0"/>
              <w:ind w:firstLine="0" w:firstLineChars="0"/>
              <w:jc w:val="center"/>
            </w:pPr>
            <w:r>
              <w:t>废水量</w:t>
            </w:r>
          </w:p>
        </w:tc>
        <w:tc>
          <w:tcPr>
            <w:tcW w:w="2409" w:type="dxa"/>
            <w:tcBorders>
              <w:bottom w:val="single" w:color="auto" w:sz="2" w:space="0"/>
            </w:tcBorders>
            <w:vAlign w:val="center"/>
          </w:tcPr>
          <w:p>
            <w:pPr>
              <w:pStyle w:val="26"/>
              <w:framePr w:hSpace="0" w:wrap="auto" w:vAnchor="margin" w:hAnchor="text" w:xAlign="left" w:yAlign="inline"/>
              <w:spacing w:line="520" w:lineRule="exact"/>
              <w:rPr>
                <w:color w:val="auto"/>
              </w:rPr>
            </w:pPr>
            <w:r>
              <w:rPr>
                <w:color w:val="auto"/>
              </w:rPr>
              <w:t>576m</w:t>
            </w:r>
            <w:r>
              <w:rPr>
                <w:color w:val="auto"/>
                <w:vertAlign w:val="superscript"/>
              </w:rPr>
              <w:t>3</w:t>
            </w:r>
            <w:r>
              <w:rPr>
                <w:color w:val="auto"/>
              </w:rPr>
              <w:t>/a</w:t>
            </w:r>
          </w:p>
        </w:tc>
        <w:tc>
          <w:tcPr>
            <w:tcW w:w="2370" w:type="dxa"/>
            <w:vAlign w:val="center"/>
          </w:tcPr>
          <w:p>
            <w:pPr>
              <w:ind w:firstLine="0" w:firstLineChars="0"/>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vAlign w:val="center"/>
          </w:tcPr>
          <w:p>
            <w:pPr>
              <w:ind w:firstLine="0" w:firstLineChars="0"/>
              <w:jc w:val="center"/>
              <w:rPr>
                <w:b/>
              </w:rPr>
            </w:pPr>
          </w:p>
        </w:tc>
        <w:tc>
          <w:tcPr>
            <w:tcW w:w="1276" w:type="dxa"/>
            <w:vMerge w:val="continue"/>
            <w:vAlign w:val="center"/>
          </w:tcPr>
          <w:p>
            <w:pPr>
              <w:ind w:firstLine="0" w:firstLineChars="0"/>
              <w:jc w:val="center"/>
              <w:rPr>
                <w:b/>
              </w:rPr>
            </w:pPr>
          </w:p>
        </w:tc>
        <w:tc>
          <w:tcPr>
            <w:tcW w:w="1418" w:type="dxa"/>
            <w:vAlign w:val="center"/>
          </w:tcPr>
          <w:p>
            <w:pPr>
              <w:ind w:firstLine="0" w:firstLineChars="0"/>
              <w:jc w:val="center"/>
              <w:rPr>
                <w:spacing w:val="-20"/>
              </w:rPr>
            </w:pPr>
            <w:r>
              <w:t>COD</w:t>
            </w:r>
          </w:p>
        </w:tc>
        <w:tc>
          <w:tcPr>
            <w:tcW w:w="2409" w:type="dxa"/>
            <w:tcBorders>
              <w:top w:val="single" w:color="auto" w:sz="2" w:space="0"/>
              <w:bottom w:val="single" w:color="auto" w:sz="2" w:space="0"/>
            </w:tcBorders>
            <w:vAlign w:val="center"/>
          </w:tcPr>
          <w:p>
            <w:pPr>
              <w:pStyle w:val="26"/>
              <w:framePr w:hSpace="0" w:wrap="auto" w:vAnchor="margin" w:hAnchor="text" w:xAlign="left" w:yAlign="inline"/>
              <w:spacing w:line="520" w:lineRule="exact"/>
              <w:rPr>
                <w:color w:val="auto"/>
              </w:rPr>
            </w:pPr>
            <w:r>
              <w:rPr>
                <w:color w:val="auto"/>
              </w:rPr>
              <w:t>300mg/L，0.1728t/a</w:t>
            </w:r>
          </w:p>
        </w:tc>
        <w:tc>
          <w:tcPr>
            <w:tcW w:w="2370" w:type="dxa"/>
            <w:vAlign w:val="center"/>
          </w:tcPr>
          <w:p>
            <w:pPr>
              <w:ind w:firstLine="0" w:firstLineChars="0"/>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vAlign w:val="center"/>
          </w:tcPr>
          <w:p>
            <w:pPr>
              <w:ind w:firstLine="0" w:firstLineChars="0"/>
              <w:jc w:val="center"/>
              <w:rPr>
                <w:b/>
              </w:rPr>
            </w:pPr>
          </w:p>
        </w:tc>
        <w:tc>
          <w:tcPr>
            <w:tcW w:w="1276" w:type="dxa"/>
            <w:vMerge w:val="continue"/>
            <w:vAlign w:val="center"/>
          </w:tcPr>
          <w:p>
            <w:pPr>
              <w:ind w:firstLine="0" w:firstLineChars="0"/>
              <w:jc w:val="center"/>
              <w:rPr>
                <w:b/>
              </w:rPr>
            </w:pPr>
          </w:p>
        </w:tc>
        <w:tc>
          <w:tcPr>
            <w:tcW w:w="1418" w:type="dxa"/>
            <w:vAlign w:val="center"/>
          </w:tcPr>
          <w:p>
            <w:pPr>
              <w:ind w:firstLine="0" w:firstLineChars="0"/>
              <w:jc w:val="center"/>
              <w:rPr>
                <w:spacing w:val="-20"/>
              </w:rPr>
            </w:pPr>
            <w:r>
              <w:t>氨氮</w:t>
            </w:r>
          </w:p>
        </w:tc>
        <w:tc>
          <w:tcPr>
            <w:tcW w:w="2409" w:type="dxa"/>
            <w:tcBorders>
              <w:top w:val="single" w:color="auto" w:sz="2" w:space="0"/>
              <w:bottom w:val="single" w:color="auto" w:sz="2" w:space="0"/>
            </w:tcBorders>
            <w:vAlign w:val="center"/>
          </w:tcPr>
          <w:p>
            <w:pPr>
              <w:pStyle w:val="26"/>
              <w:framePr w:hSpace="0" w:wrap="auto" w:vAnchor="margin" w:hAnchor="text" w:xAlign="left" w:yAlign="inline"/>
              <w:spacing w:line="520" w:lineRule="exact"/>
              <w:rPr>
                <w:color w:val="auto"/>
              </w:rPr>
            </w:pPr>
            <w:r>
              <w:rPr>
                <w:color w:val="auto"/>
              </w:rPr>
              <w:t>30mg/L，0.01728t/a</w:t>
            </w:r>
          </w:p>
        </w:tc>
        <w:tc>
          <w:tcPr>
            <w:tcW w:w="2370" w:type="dxa"/>
            <w:vAlign w:val="center"/>
          </w:tcPr>
          <w:p>
            <w:pPr>
              <w:ind w:firstLine="0" w:firstLineChars="0"/>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restart"/>
            <w:vAlign w:val="center"/>
          </w:tcPr>
          <w:p>
            <w:pPr>
              <w:ind w:firstLine="0" w:firstLineChars="0"/>
              <w:jc w:val="center"/>
              <w:rPr>
                <w:b/>
                <w:u w:val="single"/>
              </w:rPr>
            </w:pPr>
            <w:r>
              <w:rPr>
                <w:rFonts w:hint="eastAsia"/>
                <w:b/>
                <w:u w:val="single"/>
              </w:rPr>
              <w:t>大气污染物</w:t>
            </w:r>
          </w:p>
        </w:tc>
        <w:tc>
          <w:tcPr>
            <w:tcW w:w="1276" w:type="dxa"/>
            <w:vAlign w:val="center"/>
          </w:tcPr>
          <w:p>
            <w:pPr>
              <w:ind w:firstLine="0" w:firstLineChars="0"/>
              <w:jc w:val="center"/>
              <w:rPr>
                <w:b/>
                <w:u w:val="single"/>
              </w:rPr>
            </w:pPr>
            <w:r>
              <w:rPr>
                <w:rFonts w:hint="eastAsia"/>
                <w:b/>
                <w:u w:val="single"/>
              </w:rPr>
              <w:t>排气筒P</w:t>
            </w:r>
            <w:r>
              <w:rPr>
                <w:b/>
                <w:u w:val="single"/>
              </w:rPr>
              <w:t>1</w:t>
            </w:r>
          </w:p>
        </w:tc>
        <w:tc>
          <w:tcPr>
            <w:tcW w:w="1418" w:type="dxa"/>
            <w:vAlign w:val="center"/>
          </w:tcPr>
          <w:p>
            <w:pPr>
              <w:ind w:firstLine="0" w:firstLineChars="0"/>
              <w:jc w:val="center"/>
              <w:rPr>
                <w:b/>
                <w:u w:val="single"/>
              </w:rPr>
            </w:pPr>
            <w:r>
              <w:rPr>
                <w:rFonts w:hint="eastAsia"/>
                <w:b/>
                <w:u w:val="single"/>
              </w:rPr>
              <w:t>切割粉尘</w:t>
            </w:r>
          </w:p>
        </w:tc>
        <w:tc>
          <w:tcPr>
            <w:tcW w:w="2409" w:type="dxa"/>
            <w:vAlign w:val="center"/>
          </w:tcPr>
          <w:p>
            <w:pPr>
              <w:spacing w:line="240" w:lineRule="auto"/>
              <w:ind w:firstLine="0" w:firstLineChars="0"/>
              <w:jc w:val="center"/>
              <w:rPr>
                <w:b/>
                <w:u w:val="single"/>
              </w:rPr>
            </w:pPr>
            <w:r>
              <w:rPr>
                <w:rFonts w:hint="eastAsia"/>
                <w:b/>
                <w:u w:val="single"/>
              </w:rPr>
              <w:t>3</w:t>
            </w:r>
            <w:r>
              <w:rPr>
                <w:b/>
                <w:u w:val="single"/>
              </w:rPr>
              <w:t>.24</w:t>
            </w:r>
            <w:r>
              <w:rPr>
                <w:rFonts w:hint="eastAsia"/>
                <w:b/>
                <w:u w:val="single"/>
              </w:rPr>
              <w:t>mg/m</w:t>
            </w:r>
            <w:r>
              <w:rPr>
                <w:rFonts w:hint="eastAsia"/>
                <w:b/>
                <w:u w:val="single"/>
                <w:vertAlign w:val="superscript"/>
              </w:rPr>
              <w:t>3</w:t>
            </w:r>
            <w:r>
              <w:rPr>
                <w:rFonts w:hint="eastAsia"/>
                <w:b/>
                <w:u w:val="single"/>
              </w:rPr>
              <w:t>，6</w:t>
            </w:r>
            <w:r>
              <w:rPr>
                <w:b/>
                <w:u w:val="single"/>
              </w:rPr>
              <w:t>2.208</w:t>
            </w:r>
            <w:r>
              <w:rPr>
                <w:rFonts w:hint="eastAsia"/>
                <w:b/>
                <w:u w:val="single"/>
              </w:rPr>
              <w:t>kg/a</w:t>
            </w:r>
          </w:p>
        </w:tc>
        <w:tc>
          <w:tcPr>
            <w:tcW w:w="2370" w:type="dxa"/>
            <w:vAlign w:val="center"/>
          </w:tcPr>
          <w:p>
            <w:pPr>
              <w:ind w:firstLine="0" w:firstLineChars="0"/>
              <w:jc w:val="center"/>
              <w:rPr>
                <w:b/>
                <w:u w:val="single"/>
              </w:rPr>
            </w:pPr>
            <w:r>
              <w:rPr>
                <w:rFonts w:hint="eastAsia"/>
                <w:b/>
                <w:u w:val="single"/>
              </w:rPr>
              <w:t>0</w:t>
            </w:r>
            <w:r>
              <w:rPr>
                <w:b/>
                <w:u w:val="single"/>
              </w:rPr>
              <w:t>.162</w:t>
            </w:r>
            <w:r>
              <w:rPr>
                <w:rFonts w:hint="eastAsia"/>
                <w:b/>
                <w:u w:val="single"/>
              </w:rPr>
              <w:t>mg/m</w:t>
            </w:r>
            <w:r>
              <w:rPr>
                <w:rFonts w:hint="eastAsia"/>
                <w:b/>
                <w:u w:val="single"/>
                <w:vertAlign w:val="superscript"/>
              </w:rPr>
              <w:t>3</w:t>
            </w:r>
            <w:r>
              <w:rPr>
                <w:rFonts w:hint="eastAsia"/>
                <w:b/>
                <w:u w:val="single"/>
              </w:rPr>
              <w:t>，1</w:t>
            </w:r>
            <w:r>
              <w:rPr>
                <w:b/>
                <w:u w:val="single"/>
              </w:rPr>
              <w:t>.29</w:t>
            </w:r>
            <w:r>
              <w:rPr>
                <w:rFonts w:hint="eastAsia"/>
                <w:b/>
                <w:u w:val="single"/>
              </w:rPr>
              <w:t>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vAlign w:val="center"/>
          </w:tcPr>
          <w:p>
            <w:pPr>
              <w:ind w:firstLine="0" w:firstLineChars="0"/>
              <w:jc w:val="center"/>
              <w:rPr>
                <w:b/>
                <w:u w:val="single"/>
              </w:rPr>
            </w:pPr>
          </w:p>
        </w:tc>
        <w:tc>
          <w:tcPr>
            <w:tcW w:w="1276" w:type="dxa"/>
            <w:vAlign w:val="center"/>
          </w:tcPr>
          <w:p>
            <w:pPr>
              <w:ind w:firstLine="0" w:firstLineChars="0"/>
              <w:jc w:val="center"/>
              <w:rPr>
                <w:b/>
                <w:u w:val="single"/>
              </w:rPr>
            </w:pPr>
            <w:r>
              <w:rPr>
                <w:b/>
                <w:u w:val="single"/>
              </w:rPr>
              <w:t>排气筒</w:t>
            </w:r>
            <w:r>
              <w:rPr>
                <w:rFonts w:hint="eastAsia"/>
                <w:b/>
                <w:u w:val="single"/>
              </w:rPr>
              <w:t>P</w:t>
            </w:r>
            <w:r>
              <w:rPr>
                <w:b/>
                <w:u w:val="single"/>
              </w:rPr>
              <w:t>2</w:t>
            </w:r>
          </w:p>
        </w:tc>
        <w:tc>
          <w:tcPr>
            <w:tcW w:w="1418" w:type="dxa"/>
            <w:vAlign w:val="center"/>
          </w:tcPr>
          <w:p>
            <w:pPr>
              <w:ind w:firstLine="0" w:firstLineChars="0"/>
              <w:jc w:val="center"/>
              <w:rPr>
                <w:b/>
                <w:u w:val="single"/>
              </w:rPr>
            </w:pPr>
            <w:r>
              <w:rPr>
                <w:rFonts w:hint="eastAsia"/>
                <w:b/>
                <w:u w:val="single"/>
              </w:rPr>
              <w:t>焊接烟尘</w:t>
            </w:r>
          </w:p>
        </w:tc>
        <w:tc>
          <w:tcPr>
            <w:tcW w:w="2409" w:type="dxa"/>
            <w:vAlign w:val="center"/>
          </w:tcPr>
          <w:p>
            <w:pPr>
              <w:spacing w:line="240" w:lineRule="auto"/>
              <w:ind w:firstLine="0" w:firstLineChars="0"/>
              <w:jc w:val="center"/>
              <w:rPr>
                <w:b/>
                <w:u w:val="single"/>
              </w:rPr>
            </w:pPr>
            <w:r>
              <w:rPr>
                <w:rFonts w:hint="eastAsia"/>
                <w:b/>
                <w:u w:val="single"/>
              </w:rPr>
              <w:t>0</w:t>
            </w:r>
            <w:r>
              <w:rPr>
                <w:b/>
                <w:u w:val="single"/>
              </w:rPr>
              <w:t>.56</w:t>
            </w:r>
            <w:r>
              <w:rPr>
                <w:rFonts w:hint="eastAsia"/>
                <w:b/>
                <w:u w:val="single"/>
              </w:rPr>
              <w:t>mg/m</w:t>
            </w:r>
            <w:r>
              <w:rPr>
                <w:rFonts w:hint="eastAsia"/>
                <w:b/>
                <w:u w:val="single"/>
                <w:vertAlign w:val="superscript"/>
              </w:rPr>
              <w:t>3</w:t>
            </w:r>
            <w:r>
              <w:rPr>
                <w:rFonts w:hint="eastAsia"/>
                <w:b/>
                <w:u w:val="single"/>
              </w:rPr>
              <w:t>，1</w:t>
            </w:r>
            <w:r>
              <w:rPr>
                <w:b/>
                <w:u w:val="single"/>
              </w:rPr>
              <w:t>0.8</w:t>
            </w:r>
            <w:r>
              <w:rPr>
                <w:rFonts w:hint="eastAsia"/>
                <w:b/>
                <w:u w:val="single"/>
              </w:rPr>
              <w:t>kg/a</w:t>
            </w:r>
          </w:p>
        </w:tc>
        <w:tc>
          <w:tcPr>
            <w:tcW w:w="2370" w:type="dxa"/>
            <w:vAlign w:val="center"/>
          </w:tcPr>
          <w:p>
            <w:pPr>
              <w:ind w:firstLine="0" w:firstLineChars="0"/>
              <w:jc w:val="center"/>
              <w:rPr>
                <w:b/>
                <w:u w:val="single"/>
              </w:rPr>
            </w:pPr>
            <w:r>
              <w:rPr>
                <w:rFonts w:hint="eastAsia"/>
                <w:b/>
                <w:u w:val="single"/>
              </w:rPr>
              <w:t>0</w:t>
            </w:r>
            <w:r>
              <w:rPr>
                <w:b/>
                <w:u w:val="single"/>
              </w:rPr>
              <w:t>.028</w:t>
            </w:r>
            <w:r>
              <w:rPr>
                <w:rFonts w:hint="eastAsia"/>
                <w:b/>
                <w:u w:val="single"/>
              </w:rPr>
              <w:t>mg/m</w:t>
            </w:r>
            <w:r>
              <w:rPr>
                <w:rFonts w:hint="eastAsia"/>
                <w:b/>
                <w:u w:val="single"/>
                <w:vertAlign w:val="superscript"/>
              </w:rPr>
              <w:t>3</w:t>
            </w:r>
            <w:r>
              <w:rPr>
                <w:rFonts w:hint="eastAsia"/>
                <w:b/>
                <w:u w:val="single"/>
              </w:rPr>
              <w:t>，0.54kg/a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vAlign w:val="center"/>
          </w:tcPr>
          <w:p>
            <w:pPr>
              <w:ind w:firstLine="0" w:firstLineChars="0"/>
              <w:jc w:val="center"/>
              <w:rPr>
                <w:b/>
                <w:u w:val="single"/>
              </w:rPr>
            </w:pPr>
          </w:p>
        </w:tc>
        <w:tc>
          <w:tcPr>
            <w:tcW w:w="1276" w:type="dxa"/>
            <w:vAlign w:val="center"/>
          </w:tcPr>
          <w:p>
            <w:pPr>
              <w:ind w:firstLine="0" w:firstLineChars="0"/>
              <w:jc w:val="center"/>
              <w:rPr>
                <w:b/>
                <w:u w:val="single"/>
              </w:rPr>
            </w:pPr>
            <w:r>
              <w:rPr>
                <w:b/>
                <w:u w:val="single"/>
              </w:rPr>
              <w:t>排气筒</w:t>
            </w:r>
            <w:r>
              <w:rPr>
                <w:rFonts w:hint="eastAsia"/>
                <w:b/>
                <w:u w:val="single"/>
              </w:rPr>
              <w:t>P</w:t>
            </w:r>
            <w:r>
              <w:rPr>
                <w:b/>
                <w:u w:val="single"/>
              </w:rPr>
              <w:t>3</w:t>
            </w:r>
          </w:p>
        </w:tc>
        <w:tc>
          <w:tcPr>
            <w:tcW w:w="1418" w:type="dxa"/>
            <w:vAlign w:val="center"/>
          </w:tcPr>
          <w:p>
            <w:pPr>
              <w:ind w:firstLine="0" w:firstLineChars="0"/>
              <w:jc w:val="center"/>
              <w:rPr>
                <w:b/>
                <w:u w:val="single"/>
              </w:rPr>
            </w:pPr>
            <w:r>
              <w:rPr>
                <w:rFonts w:hint="eastAsia"/>
                <w:b/>
                <w:u w:val="single"/>
              </w:rPr>
              <w:t>打磨粉尘</w:t>
            </w:r>
          </w:p>
        </w:tc>
        <w:tc>
          <w:tcPr>
            <w:tcW w:w="2409" w:type="dxa"/>
            <w:vAlign w:val="center"/>
          </w:tcPr>
          <w:p>
            <w:pPr>
              <w:spacing w:line="240" w:lineRule="auto"/>
              <w:ind w:firstLine="0" w:firstLineChars="0"/>
              <w:jc w:val="center"/>
              <w:rPr>
                <w:b/>
                <w:u w:val="single"/>
              </w:rPr>
            </w:pPr>
            <w:r>
              <w:rPr>
                <w:rFonts w:hint="eastAsia"/>
                <w:b/>
                <w:u w:val="single"/>
              </w:rPr>
              <w:t>1</w:t>
            </w:r>
            <w:r>
              <w:rPr>
                <w:b/>
                <w:u w:val="single"/>
              </w:rPr>
              <w:t>4.06</w:t>
            </w:r>
            <w:r>
              <w:rPr>
                <w:rFonts w:hint="eastAsia"/>
                <w:b/>
                <w:u w:val="single"/>
              </w:rPr>
              <w:t>mg/m</w:t>
            </w:r>
            <w:r>
              <w:rPr>
                <w:rFonts w:hint="eastAsia"/>
                <w:b/>
                <w:u w:val="single"/>
                <w:vertAlign w:val="superscript"/>
              </w:rPr>
              <w:t>3</w:t>
            </w:r>
            <w:r>
              <w:rPr>
                <w:rFonts w:hint="eastAsia"/>
                <w:b/>
                <w:u w:val="single"/>
              </w:rPr>
              <w:t>，2</w:t>
            </w:r>
            <w:r>
              <w:rPr>
                <w:b/>
                <w:u w:val="single"/>
              </w:rPr>
              <w:t>70</w:t>
            </w:r>
            <w:r>
              <w:rPr>
                <w:rFonts w:hint="eastAsia"/>
                <w:b/>
                <w:u w:val="single"/>
              </w:rPr>
              <w:t>kg/a</w:t>
            </w:r>
          </w:p>
        </w:tc>
        <w:tc>
          <w:tcPr>
            <w:tcW w:w="2370" w:type="dxa"/>
            <w:vAlign w:val="center"/>
          </w:tcPr>
          <w:p>
            <w:pPr>
              <w:ind w:firstLine="0" w:firstLineChars="0"/>
              <w:jc w:val="center"/>
              <w:rPr>
                <w:b/>
                <w:u w:val="single"/>
              </w:rPr>
            </w:pPr>
            <w:r>
              <w:rPr>
                <w:rFonts w:hint="eastAsia"/>
                <w:b/>
                <w:u w:val="single"/>
              </w:rPr>
              <w:t>0</w:t>
            </w:r>
            <w:r>
              <w:rPr>
                <w:b/>
                <w:u w:val="single"/>
              </w:rPr>
              <w:t>.703</w:t>
            </w:r>
            <w:r>
              <w:rPr>
                <w:rFonts w:hint="eastAsia"/>
                <w:b/>
                <w:u w:val="single"/>
              </w:rPr>
              <w:t>mg/m</w:t>
            </w:r>
            <w:r>
              <w:rPr>
                <w:rFonts w:hint="eastAsia"/>
                <w:b/>
                <w:u w:val="single"/>
                <w:vertAlign w:val="superscript"/>
              </w:rPr>
              <w:t>3</w:t>
            </w:r>
            <w:r>
              <w:rPr>
                <w:rFonts w:hint="eastAsia"/>
                <w:b/>
                <w:u w:val="single"/>
              </w:rPr>
              <w:t>，1</w:t>
            </w:r>
            <w:r>
              <w:rPr>
                <w:b/>
                <w:u w:val="single"/>
              </w:rPr>
              <w:t>3.5</w:t>
            </w:r>
            <w:r>
              <w:rPr>
                <w:rFonts w:hint="eastAsia"/>
                <w:b/>
                <w:u w:val="single"/>
              </w:rPr>
              <w:t>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vAlign w:val="center"/>
          </w:tcPr>
          <w:p>
            <w:pPr>
              <w:ind w:firstLine="0" w:firstLineChars="0"/>
              <w:jc w:val="center"/>
              <w:rPr>
                <w:b/>
                <w:u w:val="single"/>
              </w:rPr>
            </w:pPr>
          </w:p>
        </w:tc>
        <w:tc>
          <w:tcPr>
            <w:tcW w:w="1276" w:type="dxa"/>
            <w:vAlign w:val="center"/>
          </w:tcPr>
          <w:p>
            <w:pPr>
              <w:ind w:firstLine="0" w:firstLineChars="0"/>
              <w:jc w:val="center"/>
              <w:rPr>
                <w:b/>
                <w:u w:val="single"/>
              </w:rPr>
            </w:pPr>
            <w:r>
              <w:rPr>
                <w:rFonts w:hint="eastAsia"/>
                <w:b/>
                <w:u w:val="single"/>
              </w:rPr>
              <w:t>无组织</w:t>
            </w:r>
          </w:p>
        </w:tc>
        <w:tc>
          <w:tcPr>
            <w:tcW w:w="1418" w:type="dxa"/>
            <w:vAlign w:val="center"/>
          </w:tcPr>
          <w:p>
            <w:pPr>
              <w:ind w:firstLine="0" w:firstLineChars="0"/>
              <w:jc w:val="center"/>
              <w:rPr>
                <w:b/>
                <w:u w:val="single"/>
              </w:rPr>
            </w:pPr>
            <w:r>
              <w:rPr>
                <w:rFonts w:hint="eastAsia"/>
                <w:b/>
                <w:u w:val="single"/>
              </w:rPr>
              <w:t>颗粒物</w:t>
            </w:r>
          </w:p>
        </w:tc>
        <w:tc>
          <w:tcPr>
            <w:tcW w:w="2409" w:type="dxa"/>
            <w:tcBorders>
              <w:top w:val="single" w:color="auto" w:sz="2" w:space="0"/>
              <w:bottom w:val="single" w:color="auto" w:sz="2" w:space="0"/>
            </w:tcBorders>
            <w:vAlign w:val="center"/>
          </w:tcPr>
          <w:p>
            <w:pPr>
              <w:pStyle w:val="26"/>
              <w:framePr w:hSpace="0" w:wrap="auto" w:vAnchor="margin" w:hAnchor="text" w:xAlign="left" w:yAlign="inline"/>
              <w:spacing w:line="520" w:lineRule="exact"/>
              <w:rPr>
                <w:b/>
                <w:color w:val="auto"/>
                <w:u w:val="single"/>
              </w:rPr>
            </w:pPr>
            <w:r>
              <w:rPr>
                <w:b/>
                <w:color w:val="auto"/>
                <w:u w:val="single"/>
              </w:rPr>
              <w:t>38.112</w:t>
            </w:r>
            <w:r>
              <w:rPr>
                <w:rFonts w:hint="eastAsia"/>
                <w:b/>
                <w:color w:val="auto"/>
                <w:u w:val="single"/>
              </w:rPr>
              <w:t>kg/a</w:t>
            </w:r>
          </w:p>
        </w:tc>
        <w:tc>
          <w:tcPr>
            <w:tcW w:w="2370" w:type="dxa"/>
            <w:vAlign w:val="center"/>
          </w:tcPr>
          <w:p>
            <w:pPr>
              <w:ind w:firstLine="0" w:firstLineChars="0"/>
              <w:jc w:val="center"/>
              <w:rPr>
                <w:b/>
                <w:u w:val="single"/>
              </w:rPr>
            </w:pPr>
            <w:r>
              <w:rPr>
                <w:b/>
                <w:u w:val="single"/>
              </w:rPr>
              <w:t>38.112</w:t>
            </w:r>
            <w:r>
              <w:rPr>
                <w:rFonts w:hint="eastAsia"/>
                <w:b/>
                <w:u w:val="single"/>
              </w:rPr>
              <w:t>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restart"/>
          </w:tcPr>
          <w:p>
            <w:pPr>
              <w:ind w:firstLine="0" w:firstLineChars="0"/>
              <w:jc w:val="center"/>
              <w:rPr>
                <w:b/>
                <w:u w:val="single"/>
              </w:rPr>
            </w:pPr>
            <w:r>
              <w:rPr>
                <w:b/>
                <w:u w:val="single"/>
              </w:rPr>
              <w:t>固体</w:t>
            </w:r>
          </w:p>
          <w:p>
            <w:pPr>
              <w:ind w:firstLine="0" w:firstLineChars="0"/>
              <w:jc w:val="center"/>
              <w:rPr>
                <w:b/>
                <w:u w:val="single"/>
              </w:rPr>
            </w:pPr>
            <w:r>
              <w:rPr>
                <w:b/>
                <w:u w:val="single"/>
              </w:rPr>
              <w:t>废物</w:t>
            </w:r>
          </w:p>
        </w:tc>
        <w:tc>
          <w:tcPr>
            <w:tcW w:w="1276" w:type="dxa"/>
            <w:tcBorders>
              <w:bottom w:val="single" w:color="auto" w:sz="2" w:space="0"/>
            </w:tcBorders>
            <w:vAlign w:val="center"/>
          </w:tcPr>
          <w:p>
            <w:pPr>
              <w:ind w:firstLine="0" w:firstLineChars="0"/>
              <w:jc w:val="center"/>
              <w:rPr>
                <w:b/>
                <w:u w:val="single"/>
              </w:rPr>
            </w:pPr>
            <w:r>
              <w:rPr>
                <w:b/>
                <w:u w:val="single"/>
              </w:rPr>
              <w:t>职工</w:t>
            </w:r>
            <w:r>
              <w:rPr>
                <w:rFonts w:hint="eastAsia"/>
                <w:b/>
                <w:u w:val="single"/>
              </w:rPr>
              <w:t>生活</w:t>
            </w:r>
          </w:p>
        </w:tc>
        <w:tc>
          <w:tcPr>
            <w:tcW w:w="1418" w:type="dxa"/>
            <w:tcBorders>
              <w:bottom w:val="single" w:color="auto" w:sz="2" w:space="0"/>
            </w:tcBorders>
            <w:vAlign w:val="center"/>
          </w:tcPr>
          <w:p>
            <w:pPr>
              <w:ind w:firstLine="0" w:firstLineChars="0"/>
              <w:jc w:val="center"/>
              <w:rPr>
                <w:b/>
                <w:u w:val="single"/>
              </w:rPr>
            </w:pPr>
            <w:r>
              <w:rPr>
                <w:b/>
                <w:u w:val="single"/>
              </w:rPr>
              <w:t>生活垃圾</w:t>
            </w:r>
          </w:p>
        </w:tc>
        <w:tc>
          <w:tcPr>
            <w:tcW w:w="2409" w:type="dxa"/>
            <w:tcBorders>
              <w:bottom w:val="single" w:color="auto" w:sz="2" w:space="0"/>
            </w:tcBorders>
            <w:vAlign w:val="center"/>
          </w:tcPr>
          <w:p>
            <w:pPr>
              <w:pStyle w:val="26"/>
              <w:framePr w:hSpace="0" w:wrap="auto" w:vAnchor="margin" w:hAnchor="text" w:xAlign="left" w:yAlign="inline"/>
              <w:spacing w:line="520" w:lineRule="exact"/>
              <w:rPr>
                <w:b/>
                <w:color w:val="auto"/>
                <w:u w:val="single"/>
              </w:rPr>
            </w:pPr>
            <w:r>
              <w:rPr>
                <w:b/>
                <w:color w:val="auto"/>
                <w:u w:val="single"/>
              </w:rPr>
              <w:t>6.0t/a</w:t>
            </w:r>
          </w:p>
        </w:tc>
        <w:tc>
          <w:tcPr>
            <w:tcW w:w="2370" w:type="dxa"/>
            <w:vAlign w:val="center"/>
          </w:tcPr>
          <w:p>
            <w:pPr>
              <w:adjustRightInd w:val="0"/>
              <w:snapToGrid w:val="0"/>
              <w:ind w:firstLine="0" w:firstLineChars="0"/>
              <w:jc w:val="center"/>
              <w:rPr>
                <w:b/>
                <w:u w:val="single"/>
              </w:rPr>
            </w:pPr>
            <w:r>
              <w:rPr>
                <w:rFonts w:hint="eastAsia"/>
                <w:b/>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tcPr>
          <w:p>
            <w:pPr>
              <w:ind w:firstLine="0" w:firstLineChars="0"/>
              <w:jc w:val="center"/>
              <w:rPr>
                <w:b/>
                <w:u w:val="single"/>
              </w:rPr>
            </w:pPr>
          </w:p>
        </w:tc>
        <w:tc>
          <w:tcPr>
            <w:tcW w:w="1276" w:type="dxa"/>
            <w:vMerge w:val="restart"/>
            <w:vAlign w:val="center"/>
          </w:tcPr>
          <w:p>
            <w:pPr>
              <w:ind w:firstLine="0" w:firstLineChars="0"/>
              <w:jc w:val="center"/>
              <w:rPr>
                <w:b/>
                <w:u w:val="single"/>
              </w:rPr>
            </w:pPr>
            <w:r>
              <w:rPr>
                <w:rFonts w:hint="eastAsia"/>
                <w:b/>
                <w:u w:val="single"/>
              </w:rPr>
              <w:t>一般固废</w:t>
            </w:r>
          </w:p>
        </w:tc>
        <w:tc>
          <w:tcPr>
            <w:tcW w:w="1418" w:type="dxa"/>
            <w:tcBorders>
              <w:bottom w:val="single" w:color="auto" w:sz="2" w:space="0"/>
            </w:tcBorders>
            <w:vAlign w:val="center"/>
          </w:tcPr>
          <w:p>
            <w:pPr>
              <w:ind w:firstLine="0" w:firstLineChars="0"/>
              <w:jc w:val="center"/>
              <w:rPr>
                <w:b/>
                <w:u w:val="single"/>
              </w:rPr>
            </w:pPr>
            <w:r>
              <w:rPr>
                <w:rFonts w:hint="eastAsia"/>
                <w:b/>
                <w:u w:val="single"/>
              </w:rPr>
              <w:t>废边角料、废金属屑</w:t>
            </w:r>
          </w:p>
        </w:tc>
        <w:tc>
          <w:tcPr>
            <w:tcW w:w="2409" w:type="dxa"/>
            <w:tcBorders>
              <w:bottom w:val="single" w:color="auto" w:sz="2" w:space="0"/>
            </w:tcBorders>
            <w:vAlign w:val="center"/>
          </w:tcPr>
          <w:p>
            <w:pPr>
              <w:pStyle w:val="26"/>
              <w:framePr w:hSpace="0" w:wrap="auto" w:vAnchor="margin" w:hAnchor="text" w:xAlign="left" w:yAlign="inline"/>
              <w:spacing w:line="520" w:lineRule="exact"/>
              <w:rPr>
                <w:b/>
                <w:color w:val="auto"/>
                <w:u w:val="single"/>
              </w:rPr>
            </w:pPr>
            <w:r>
              <w:rPr>
                <w:b/>
                <w:color w:val="auto"/>
                <w:u w:val="single"/>
              </w:rPr>
              <w:t>2.7t/a</w:t>
            </w:r>
          </w:p>
        </w:tc>
        <w:tc>
          <w:tcPr>
            <w:tcW w:w="2370" w:type="dxa"/>
            <w:vAlign w:val="center"/>
          </w:tcPr>
          <w:p>
            <w:pPr>
              <w:adjustRightInd w:val="0"/>
              <w:snapToGrid w:val="0"/>
              <w:ind w:firstLine="0" w:firstLineChars="0"/>
              <w:jc w:val="center"/>
              <w:rPr>
                <w:b/>
                <w:u w:val="single"/>
              </w:rPr>
            </w:pPr>
            <w:r>
              <w:rPr>
                <w:rFonts w:hint="eastAsia"/>
                <w:b/>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tcPr>
          <w:p>
            <w:pPr>
              <w:ind w:firstLine="0" w:firstLineChars="0"/>
              <w:jc w:val="center"/>
              <w:rPr>
                <w:b/>
                <w:u w:val="single"/>
              </w:rPr>
            </w:pPr>
          </w:p>
        </w:tc>
        <w:tc>
          <w:tcPr>
            <w:tcW w:w="1276" w:type="dxa"/>
            <w:vMerge w:val="continue"/>
            <w:tcBorders>
              <w:bottom w:val="single" w:color="auto" w:sz="2" w:space="0"/>
            </w:tcBorders>
            <w:vAlign w:val="center"/>
          </w:tcPr>
          <w:p>
            <w:pPr>
              <w:ind w:firstLine="0" w:firstLineChars="0"/>
              <w:jc w:val="center"/>
              <w:rPr>
                <w:b/>
                <w:u w:val="single"/>
              </w:rPr>
            </w:pPr>
          </w:p>
        </w:tc>
        <w:tc>
          <w:tcPr>
            <w:tcW w:w="1418" w:type="dxa"/>
            <w:tcBorders>
              <w:bottom w:val="single" w:color="auto" w:sz="2" w:space="0"/>
            </w:tcBorders>
            <w:vAlign w:val="center"/>
          </w:tcPr>
          <w:p>
            <w:pPr>
              <w:spacing w:line="240" w:lineRule="auto"/>
              <w:ind w:firstLine="0" w:firstLineChars="0"/>
              <w:jc w:val="center"/>
              <w:rPr>
                <w:b/>
                <w:u w:val="single"/>
              </w:rPr>
            </w:pPr>
            <w:r>
              <w:rPr>
                <w:rFonts w:hint="eastAsia"/>
                <w:b/>
                <w:u w:val="single"/>
              </w:rPr>
              <w:t>焊渣</w:t>
            </w:r>
          </w:p>
        </w:tc>
        <w:tc>
          <w:tcPr>
            <w:tcW w:w="2409" w:type="dxa"/>
            <w:vAlign w:val="center"/>
          </w:tcPr>
          <w:p>
            <w:pPr>
              <w:spacing w:line="240" w:lineRule="auto"/>
              <w:ind w:firstLine="0" w:firstLineChars="0"/>
              <w:jc w:val="center"/>
              <w:rPr>
                <w:b/>
                <w:u w:val="single"/>
              </w:rPr>
            </w:pPr>
            <w:r>
              <w:rPr>
                <w:rFonts w:hint="eastAsia"/>
                <w:b/>
                <w:u w:val="single"/>
              </w:rPr>
              <w:t>0.</w:t>
            </w:r>
            <w:r>
              <w:rPr>
                <w:b/>
                <w:u w:val="single"/>
              </w:rPr>
              <w:t>015</w:t>
            </w:r>
            <w:r>
              <w:rPr>
                <w:rFonts w:hint="eastAsia"/>
                <w:b/>
                <w:u w:val="single"/>
              </w:rPr>
              <w:t>t</w:t>
            </w:r>
            <w:r>
              <w:rPr>
                <w:b/>
                <w:u w:val="single"/>
              </w:rPr>
              <w:t>/a</w:t>
            </w:r>
          </w:p>
        </w:tc>
        <w:tc>
          <w:tcPr>
            <w:tcW w:w="2370" w:type="dxa"/>
            <w:vAlign w:val="center"/>
          </w:tcPr>
          <w:p>
            <w:pPr>
              <w:spacing w:line="240" w:lineRule="auto"/>
              <w:ind w:firstLine="0" w:firstLineChars="0"/>
              <w:jc w:val="center"/>
              <w:rPr>
                <w:b/>
                <w:u w:val="single"/>
              </w:rPr>
            </w:pPr>
            <w:r>
              <w:rPr>
                <w:b/>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tcPr>
          <w:p>
            <w:pPr>
              <w:ind w:firstLine="0" w:firstLineChars="0"/>
              <w:jc w:val="center"/>
              <w:rPr>
                <w:b/>
                <w:u w:val="single"/>
              </w:rPr>
            </w:pPr>
          </w:p>
        </w:tc>
        <w:tc>
          <w:tcPr>
            <w:tcW w:w="1276" w:type="dxa"/>
            <w:vMerge w:val="restart"/>
            <w:vAlign w:val="center"/>
          </w:tcPr>
          <w:p>
            <w:pPr>
              <w:ind w:firstLine="0" w:firstLineChars="0"/>
              <w:jc w:val="center"/>
              <w:rPr>
                <w:b/>
                <w:u w:val="single"/>
              </w:rPr>
            </w:pPr>
            <w:r>
              <w:rPr>
                <w:rFonts w:hint="eastAsia"/>
                <w:b/>
                <w:u w:val="single"/>
              </w:rPr>
              <w:t>危险废物</w:t>
            </w:r>
          </w:p>
        </w:tc>
        <w:tc>
          <w:tcPr>
            <w:tcW w:w="1418" w:type="dxa"/>
            <w:vAlign w:val="center"/>
          </w:tcPr>
          <w:p>
            <w:pPr>
              <w:spacing w:line="240" w:lineRule="auto"/>
              <w:ind w:firstLine="0" w:firstLineChars="0"/>
              <w:jc w:val="center"/>
              <w:rPr>
                <w:b/>
                <w:u w:val="single"/>
              </w:rPr>
            </w:pPr>
            <w:r>
              <w:rPr>
                <w:rFonts w:hint="eastAsia"/>
                <w:b/>
                <w:u w:val="single"/>
              </w:rPr>
              <w:t>废液压油</w:t>
            </w:r>
          </w:p>
        </w:tc>
        <w:tc>
          <w:tcPr>
            <w:tcW w:w="2409" w:type="dxa"/>
            <w:vAlign w:val="center"/>
          </w:tcPr>
          <w:p>
            <w:pPr>
              <w:spacing w:line="240" w:lineRule="auto"/>
              <w:ind w:firstLine="0" w:firstLineChars="0"/>
              <w:jc w:val="center"/>
              <w:rPr>
                <w:b/>
                <w:u w:val="single"/>
              </w:rPr>
            </w:pPr>
            <w:r>
              <w:rPr>
                <w:rFonts w:hint="eastAsia"/>
                <w:b/>
                <w:u w:val="single"/>
              </w:rPr>
              <w:t>0.4t/a</w:t>
            </w:r>
          </w:p>
        </w:tc>
        <w:tc>
          <w:tcPr>
            <w:tcW w:w="2370" w:type="dxa"/>
            <w:vAlign w:val="center"/>
          </w:tcPr>
          <w:p>
            <w:pPr>
              <w:spacing w:line="240" w:lineRule="auto"/>
              <w:ind w:firstLine="0" w:firstLineChars="0"/>
              <w:jc w:val="center"/>
              <w:rPr>
                <w:b/>
                <w:u w:val="single"/>
              </w:rPr>
            </w:pPr>
            <w:r>
              <w:rPr>
                <w:b/>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Merge w:val="continue"/>
          </w:tcPr>
          <w:p>
            <w:pPr>
              <w:ind w:firstLine="0" w:firstLineChars="0"/>
              <w:jc w:val="center"/>
              <w:rPr>
                <w:b/>
                <w:u w:val="single"/>
              </w:rPr>
            </w:pPr>
          </w:p>
        </w:tc>
        <w:tc>
          <w:tcPr>
            <w:tcW w:w="1276" w:type="dxa"/>
            <w:vMerge w:val="continue"/>
            <w:vAlign w:val="center"/>
          </w:tcPr>
          <w:p>
            <w:pPr>
              <w:pStyle w:val="26"/>
              <w:framePr w:hSpace="0" w:wrap="auto" w:vAnchor="margin" w:hAnchor="text" w:xAlign="left" w:yAlign="inline"/>
              <w:spacing w:line="520" w:lineRule="exact"/>
              <w:rPr>
                <w:b/>
                <w:color w:val="auto"/>
                <w:u w:val="single"/>
              </w:rPr>
            </w:pPr>
          </w:p>
        </w:tc>
        <w:tc>
          <w:tcPr>
            <w:tcW w:w="1418" w:type="dxa"/>
            <w:vAlign w:val="center"/>
          </w:tcPr>
          <w:p>
            <w:pPr>
              <w:spacing w:line="240" w:lineRule="auto"/>
              <w:ind w:firstLine="0" w:firstLineChars="0"/>
              <w:jc w:val="center"/>
              <w:rPr>
                <w:b/>
                <w:u w:val="single"/>
              </w:rPr>
            </w:pPr>
            <w:r>
              <w:rPr>
                <w:rFonts w:hint="eastAsia"/>
                <w:b/>
                <w:u w:val="single"/>
              </w:rPr>
              <w:t>废切削液</w:t>
            </w:r>
          </w:p>
        </w:tc>
        <w:tc>
          <w:tcPr>
            <w:tcW w:w="2409" w:type="dxa"/>
            <w:vAlign w:val="center"/>
          </w:tcPr>
          <w:p>
            <w:pPr>
              <w:spacing w:line="240" w:lineRule="auto"/>
              <w:ind w:firstLine="0" w:firstLineChars="0"/>
              <w:jc w:val="center"/>
              <w:rPr>
                <w:b/>
                <w:u w:val="single"/>
              </w:rPr>
            </w:pPr>
            <w:r>
              <w:rPr>
                <w:rFonts w:hint="eastAsia"/>
                <w:b/>
                <w:u w:val="single"/>
              </w:rPr>
              <w:t>0.5t/a</w:t>
            </w:r>
          </w:p>
        </w:tc>
        <w:tc>
          <w:tcPr>
            <w:tcW w:w="2370" w:type="dxa"/>
            <w:vAlign w:val="center"/>
          </w:tcPr>
          <w:p>
            <w:pPr>
              <w:spacing w:line="240" w:lineRule="auto"/>
              <w:ind w:firstLine="0" w:firstLineChars="0"/>
              <w:jc w:val="center"/>
              <w:rPr>
                <w:b/>
                <w:u w:val="single"/>
              </w:rPr>
            </w:pPr>
            <w:r>
              <w:rPr>
                <w:rFonts w:hint="eastAsia"/>
                <w:b/>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2" w:type="dxa"/>
            <w:vAlign w:val="center"/>
          </w:tcPr>
          <w:p>
            <w:pPr>
              <w:ind w:firstLine="0" w:firstLineChars="0"/>
              <w:jc w:val="center"/>
              <w:rPr>
                <w:b/>
              </w:rPr>
            </w:pPr>
            <w:r>
              <w:rPr>
                <w:b/>
              </w:rPr>
              <w:t>噪声</w:t>
            </w:r>
          </w:p>
        </w:tc>
        <w:tc>
          <w:tcPr>
            <w:tcW w:w="7473" w:type="dxa"/>
            <w:gridSpan w:val="4"/>
            <w:tcBorders>
              <w:top w:val="single" w:color="auto" w:sz="2" w:space="0"/>
            </w:tcBorders>
            <w:vAlign w:val="center"/>
          </w:tcPr>
          <w:p>
            <w:pPr>
              <w:ind w:firstLine="0" w:firstLineChars="0"/>
            </w:pPr>
            <w:r>
              <w:rPr>
                <w:bCs/>
              </w:rPr>
              <w:t>项目生产过程中高噪声设备产生的噪声</w:t>
            </w:r>
            <w:r>
              <w:t>，其噪声值在70dB(A)-85dB(A)之间。经厂房隔声、基础减震和距离衰减后，厂界四周噪声可以达到《工业企业厂界噪声排放标准》（GB 12348-2008）2类标准要求。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 w:hRule="atLeast"/>
          <w:jc w:val="center"/>
        </w:trPr>
        <w:tc>
          <w:tcPr>
            <w:tcW w:w="8485" w:type="dxa"/>
            <w:gridSpan w:val="5"/>
          </w:tcPr>
          <w:p>
            <w:pPr>
              <w:ind w:firstLine="0" w:firstLineChars="0"/>
            </w:pPr>
            <w:r>
              <w:rPr>
                <w:b/>
                <w:bCs/>
              </w:rPr>
              <w:t>主要生态影响</w:t>
            </w:r>
            <w:r>
              <w:rPr>
                <w:rFonts w:hint="eastAsia"/>
                <w:b/>
                <w:bCs/>
              </w:rPr>
              <w:t>：</w:t>
            </w:r>
            <w:r>
              <w:t>该拟建厂区无天然植被，无国家重点保护的野生植物品种和野生动物种群，项目建设不会对珍稀动植物造成影响，不会引起物种多样性的减少以及占地范围内植被生物量损失较少。</w:t>
            </w:r>
          </w:p>
        </w:tc>
      </w:tr>
    </w:tbl>
    <w:p>
      <w:pPr>
        <w:spacing w:line="240" w:lineRule="auto"/>
        <w:ind w:firstLine="0" w:firstLineChars="0"/>
        <w:rPr>
          <w:b/>
          <w:sz w:val="30"/>
          <w:szCs w:val="30"/>
        </w:rPr>
      </w:pPr>
      <w:r>
        <w:rPr>
          <w:rFonts w:hint="eastAsia"/>
          <w:b/>
          <w:sz w:val="30"/>
          <w:szCs w:val="30"/>
        </w:rPr>
        <w:t>环境影响分析</w:t>
      </w:r>
    </w:p>
    <w:tbl>
      <w:tblPr>
        <w:tblStyle w:val="20"/>
        <w:tblW w:w="894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19" w:hRule="atLeast"/>
        </w:trPr>
        <w:tc>
          <w:tcPr>
            <w:tcW w:w="8946" w:type="dxa"/>
            <w:tcBorders>
              <w:top w:val="single" w:color="auto" w:sz="12" w:space="0"/>
              <w:bottom w:val="single" w:color="auto" w:sz="12" w:space="0"/>
            </w:tcBorders>
          </w:tcPr>
          <w:p>
            <w:pPr>
              <w:ind w:firstLine="0" w:firstLineChars="0"/>
              <w:rPr>
                <w:b/>
                <w:sz w:val="30"/>
                <w:szCs w:val="30"/>
              </w:rPr>
            </w:pPr>
            <w:r>
              <w:rPr>
                <w:b/>
              </w:rPr>
              <w:t>运营期环境影响分析：</w:t>
            </w:r>
          </w:p>
          <w:p>
            <w:pPr>
              <w:ind w:firstLine="0" w:firstLineChars="0"/>
              <w:jc w:val="both"/>
              <w:rPr>
                <w:b/>
                <w:szCs w:val="20"/>
              </w:rPr>
            </w:pPr>
            <w:r>
              <w:rPr>
                <w:b/>
                <w:szCs w:val="20"/>
              </w:rPr>
              <w:t>1、大气环境影响分析</w:t>
            </w:r>
          </w:p>
          <w:p>
            <w:pPr>
              <w:ind w:firstLine="482"/>
              <w:rPr>
                <w:b/>
                <w:u w:val="single"/>
              </w:rPr>
            </w:pPr>
            <w:r>
              <w:rPr>
                <w:b/>
                <w:u w:val="single"/>
              </w:rPr>
              <w:t>根据前述工程分析可知，本项目</w:t>
            </w:r>
            <w:r>
              <w:rPr>
                <w:rFonts w:hint="eastAsia"/>
                <w:b/>
                <w:u w:val="single"/>
              </w:rPr>
              <w:t>运营期</w:t>
            </w:r>
            <w:r>
              <w:rPr>
                <w:b/>
                <w:u w:val="single"/>
              </w:rPr>
              <w:t>废气</w:t>
            </w:r>
            <w:r>
              <w:rPr>
                <w:rFonts w:hint="eastAsia"/>
                <w:b/>
                <w:u w:val="single"/>
              </w:rPr>
              <w:t>污染物</w:t>
            </w:r>
            <w:r>
              <w:rPr>
                <w:b/>
                <w:u w:val="single"/>
              </w:rPr>
              <w:t>主要</w:t>
            </w:r>
            <w:r>
              <w:rPr>
                <w:rFonts w:hint="eastAsia"/>
                <w:b/>
                <w:u w:val="single"/>
              </w:rPr>
              <w:t>为</w:t>
            </w:r>
            <w:r>
              <w:rPr>
                <w:rFonts w:hint="eastAsia"/>
                <w:b/>
                <w:bCs/>
                <w:u w:val="single"/>
              </w:rPr>
              <w:t>切割粉尘，焊接烟尘，</w:t>
            </w:r>
            <w:r>
              <w:rPr>
                <w:b/>
                <w:bCs/>
                <w:u w:val="single"/>
              </w:rPr>
              <w:t>打磨粉尘</w:t>
            </w:r>
            <w:r>
              <w:rPr>
                <w:rFonts w:hint="eastAsia"/>
                <w:b/>
                <w:bCs/>
                <w:u w:val="single"/>
              </w:rPr>
              <w:t>。</w:t>
            </w:r>
          </w:p>
          <w:p>
            <w:pPr>
              <w:ind w:firstLine="482"/>
              <w:rPr>
                <w:b/>
                <w:u w:val="single"/>
              </w:rPr>
            </w:pPr>
            <w:r>
              <w:rPr>
                <w:b/>
                <w:u w:val="single"/>
              </w:rPr>
              <w:t>（1）大气污染因素</w:t>
            </w:r>
            <w:r>
              <w:rPr>
                <w:rFonts w:hint="eastAsia"/>
                <w:b/>
                <w:u w:val="single"/>
              </w:rPr>
              <w:t>及源强</w:t>
            </w:r>
            <w:r>
              <w:rPr>
                <w:b/>
                <w:u w:val="single"/>
              </w:rPr>
              <w:t>分析</w:t>
            </w:r>
          </w:p>
          <w:p>
            <w:pPr>
              <w:ind w:firstLine="482"/>
              <w:rPr>
                <w:b/>
                <w:u w:val="single"/>
              </w:rPr>
            </w:pPr>
            <w:r>
              <w:rPr>
                <w:rFonts w:hint="eastAsia"/>
                <w:b/>
                <w:u w:val="single"/>
              </w:rPr>
              <w:t>①切割粉尘</w:t>
            </w:r>
          </w:p>
          <w:p>
            <w:pPr>
              <w:ind w:firstLine="482"/>
              <w:rPr>
                <w:b/>
                <w:u w:val="single"/>
              </w:rPr>
            </w:pPr>
            <w:r>
              <w:rPr>
                <w:rFonts w:hint="eastAsia"/>
                <w:b/>
                <w:u w:val="single"/>
              </w:rPr>
              <w:t>项目剪板机（1台）、雕刻机（5台）在进行切割雕刻作业时会产生切割粉尘，</w:t>
            </w:r>
            <w:r>
              <w:rPr>
                <w:b/>
                <w:u w:val="single"/>
              </w:rPr>
              <w:t>主要污染因子为颗粒物</w:t>
            </w:r>
            <w:r>
              <w:rPr>
                <w:rFonts w:hint="eastAsia"/>
                <w:b/>
                <w:u w:val="single"/>
              </w:rPr>
              <w:t>。</w:t>
            </w:r>
            <w:r>
              <w:rPr>
                <w:b/>
                <w:u w:val="single"/>
              </w:rPr>
              <w:t>参考《焊接技术手册》</w:t>
            </w:r>
            <w:r>
              <w:rPr>
                <w:rFonts w:hint="eastAsia"/>
                <w:b/>
                <w:u w:val="single"/>
              </w:rPr>
              <w:t>（王文瀚主编）</w:t>
            </w:r>
            <w:r>
              <w:rPr>
                <w:b/>
                <w:u w:val="single"/>
              </w:rPr>
              <w:t>，切割过程发尘量为40~80mg/min，本评价取80mg/min。切割工序年工作时间为2400h，则切割过程颗粒物产生量为0.06912</w:t>
            </w:r>
            <w:r>
              <w:rPr>
                <w:rFonts w:hint="eastAsia"/>
                <w:b/>
                <w:u w:val="single"/>
              </w:rPr>
              <w:t>t/a</w:t>
            </w:r>
            <w:r>
              <w:rPr>
                <w:b/>
                <w:u w:val="single"/>
              </w:rPr>
              <w:t>。</w:t>
            </w:r>
          </w:p>
          <w:p>
            <w:pPr>
              <w:ind w:firstLine="482"/>
              <w:rPr>
                <w:b/>
                <w:u w:val="single"/>
              </w:rPr>
            </w:pPr>
            <w:r>
              <w:rPr>
                <w:rFonts w:hint="eastAsia"/>
                <w:b/>
                <w:u w:val="single"/>
              </w:rPr>
              <w:t>②焊接烟尘</w:t>
            </w:r>
          </w:p>
          <w:p>
            <w:pPr>
              <w:ind w:firstLine="482"/>
              <w:rPr>
                <w:b/>
                <w:u w:val="single"/>
              </w:rPr>
            </w:pPr>
            <w:r>
              <w:rPr>
                <w:rFonts w:hint="eastAsia"/>
                <w:b/>
                <w:u w:val="single"/>
              </w:rPr>
              <w:t>本项目焊接过程会产生焊接烟尘，根据《焊接工作的劳动保护》中提到的相关资料，焊丝的烟尘产生量为5~8g/kg（取8g/kg），本项目使用铝焊丝为1.5t/a，则烟尘产生量为12kg/a。根据企业提供资料，焊接时间为8h/d，则焊接烟尘产生量为0.04kg/d，即5.0g/h。</w:t>
            </w:r>
          </w:p>
          <w:p>
            <w:pPr>
              <w:ind w:firstLine="482"/>
              <w:rPr>
                <w:b/>
                <w:u w:val="single"/>
              </w:rPr>
            </w:pPr>
            <w:r>
              <w:rPr>
                <w:rFonts w:hint="eastAsia"/>
                <w:b/>
                <w:u w:val="single"/>
              </w:rPr>
              <w:t>③打磨粉尘</w:t>
            </w:r>
          </w:p>
          <w:p>
            <w:pPr>
              <w:ind w:firstLine="482"/>
              <w:rPr>
                <w:b/>
                <w:u w:val="single"/>
              </w:rPr>
            </w:pPr>
            <w:r>
              <w:rPr>
                <w:rFonts w:hint="eastAsia"/>
                <w:b/>
                <w:u w:val="single"/>
              </w:rPr>
              <w:t>项目打磨、抛光工序使用磨光机、抛光机进行作业时会产生粉尘，</w:t>
            </w:r>
            <w:r>
              <w:rPr>
                <w:b/>
                <w:u w:val="single"/>
              </w:rPr>
              <w:t>主要污染因子为颗粒物</w:t>
            </w:r>
            <w:r>
              <w:rPr>
                <w:rFonts w:hint="eastAsia"/>
                <w:b/>
                <w:u w:val="single"/>
              </w:rPr>
              <w:t>。</w:t>
            </w:r>
            <w:r>
              <w:rPr>
                <w:b/>
                <w:u w:val="single"/>
              </w:rPr>
              <w:t>参照《第一次全国污染源普查工业产排污系数手册》及生产经验，打磨粉尘产生量约为0.10kg/t，本项目外购成品</w:t>
            </w:r>
            <w:r>
              <w:rPr>
                <w:rFonts w:hint="eastAsia"/>
                <w:b/>
                <w:u w:val="single"/>
              </w:rPr>
              <w:t>铝材</w:t>
            </w:r>
            <w:r>
              <w:rPr>
                <w:b/>
                <w:u w:val="single"/>
              </w:rPr>
              <w:t>，锈迹较少，</w:t>
            </w:r>
            <w:r>
              <w:rPr>
                <w:rFonts w:hint="eastAsia"/>
                <w:b/>
                <w:u w:val="single"/>
              </w:rPr>
              <w:t>铝板</w:t>
            </w:r>
            <w:r>
              <w:rPr>
                <w:b/>
                <w:u w:val="single"/>
              </w:rPr>
              <w:t>使用量为</w:t>
            </w:r>
            <w:r>
              <w:rPr>
                <w:rFonts w:hint="eastAsia"/>
                <w:b/>
                <w:u w:val="single"/>
              </w:rPr>
              <w:t>3000</w:t>
            </w:r>
            <w:r>
              <w:rPr>
                <w:b/>
                <w:u w:val="single"/>
              </w:rPr>
              <w:t>t/a，则</w:t>
            </w:r>
            <w:r>
              <w:rPr>
                <w:rFonts w:hint="eastAsia"/>
                <w:b/>
                <w:u w:val="single"/>
              </w:rPr>
              <w:t>打磨</w:t>
            </w:r>
            <w:r>
              <w:rPr>
                <w:b/>
                <w:u w:val="single"/>
              </w:rPr>
              <w:t>粉尘产生量为0.</w:t>
            </w:r>
            <w:r>
              <w:rPr>
                <w:rFonts w:hint="eastAsia"/>
                <w:b/>
                <w:u w:val="single"/>
              </w:rPr>
              <w:t>3</w:t>
            </w:r>
            <w:r>
              <w:rPr>
                <w:b/>
                <w:u w:val="single"/>
              </w:rPr>
              <w:t>t/a。</w:t>
            </w:r>
          </w:p>
          <w:p>
            <w:pPr>
              <w:ind w:firstLine="482"/>
              <w:rPr>
                <w:b/>
                <w:u w:val="single"/>
              </w:rPr>
            </w:pPr>
            <w:r>
              <w:rPr>
                <w:rFonts w:hint="eastAsia" w:ascii="Georgia" w:hAnsi="宋体"/>
                <w:b/>
                <w:szCs w:val="22"/>
                <w:u w:val="single"/>
              </w:rPr>
              <w:t>为</w:t>
            </w:r>
            <w:r>
              <w:rPr>
                <w:rFonts w:ascii="Georgia" w:hAnsi="宋体"/>
                <w:b/>
                <w:szCs w:val="22"/>
                <w:u w:val="single"/>
              </w:rPr>
              <w:t>减少</w:t>
            </w:r>
            <w:r>
              <w:rPr>
                <w:rFonts w:hint="eastAsia" w:ascii="Georgia" w:hAnsi="宋体"/>
                <w:b/>
                <w:szCs w:val="22"/>
                <w:u w:val="single"/>
              </w:rPr>
              <w:t>粉尘</w:t>
            </w:r>
            <w:r>
              <w:rPr>
                <w:rFonts w:ascii="Georgia" w:hAnsi="宋体"/>
                <w:b/>
                <w:szCs w:val="22"/>
                <w:u w:val="single"/>
              </w:rPr>
              <w:t>对员工及周边环境的不利影响，根据《新乡市</w:t>
            </w:r>
            <w:r>
              <w:rPr>
                <w:b/>
                <w:szCs w:val="22"/>
                <w:u w:val="single"/>
              </w:rPr>
              <w:t>2019</w:t>
            </w:r>
            <w:r>
              <w:rPr>
                <w:rFonts w:ascii="Georgia" w:hAnsi="宋体"/>
                <w:b/>
                <w:szCs w:val="22"/>
                <w:u w:val="single"/>
              </w:rPr>
              <w:t>年工业企业无组织排放治理</w:t>
            </w:r>
            <w:r>
              <w:rPr>
                <w:b/>
                <w:szCs w:val="22"/>
                <w:u w:val="single"/>
              </w:rPr>
              <w:t>方案的通知》相关要求，评价</w:t>
            </w:r>
            <w:r>
              <w:rPr>
                <w:rFonts w:hint="eastAsia"/>
                <w:b/>
                <w:szCs w:val="22"/>
                <w:u w:val="single"/>
              </w:rPr>
              <w:t>建议项目切割、雕刻、焊接、打磨、抛光工序均设置固定工位，并在工作区上方</w:t>
            </w:r>
            <w:r>
              <w:rPr>
                <w:b/>
                <w:szCs w:val="22"/>
                <w:u w:val="single"/>
              </w:rPr>
              <w:t>安装集气罩</w:t>
            </w:r>
            <w:r>
              <w:rPr>
                <w:rFonts w:hint="eastAsia"/>
                <w:b/>
                <w:szCs w:val="22"/>
                <w:u w:val="single"/>
              </w:rPr>
              <w:t>。</w:t>
            </w:r>
            <w:r>
              <w:rPr>
                <w:rFonts w:hint="eastAsia"/>
                <w:b/>
                <w:u w:val="single"/>
              </w:rPr>
              <w:t>项目切割工位和雕刻工位距离较近，且污染物均为切割粉尘，因此切割工序、雕刻工序产生的粉尘经集气罩收集后进入1套袋式除尘器处理后经15m排气筒排放。项目焊接工序产生的烟尘经集气罩收集后进入1套袋式除尘器处理后经15m排气筒排放。</w:t>
            </w:r>
            <w:r>
              <w:rPr>
                <w:b/>
                <w:u w:val="single"/>
              </w:rPr>
              <w:t>项目</w:t>
            </w:r>
            <w:r>
              <w:rPr>
                <w:rFonts w:hint="eastAsia"/>
                <w:b/>
                <w:u w:val="single"/>
              </w:rPr>
              <w:t>打磨工位和抛光工位距离较近，且污染物均为打磨粉尘，因此打磨、抛光</w:t>
            </w:r>
            <w:r>
              <w:rPr>
                <w:b/>
                <w:u w:val="single"/>
              </w:rPr>
              <w:t>工序</w:t>
            </w:r>
            <w:r>
              <w:rPr>
                <w:rFonts w:hint="eastAsia"/>
                <w:b/>
                <w:u w:val="single"/>
              </w:rPr>
              <w:t>产生的粉尘经集气罩收集后进入1套袋式除尘器处理后经15m排气筒排放。</w:t>
            </w:r>
          </w:p>
          <w:p>
            <w:pPr>
              <w:ind w:firstLine="482"/>
              <w:rPr>
                <w:b/>
                <w:u w:val="single"/>
              </w:rPr>
            </w:pPr>
            <w:r>
              <w:rPr>
                <w:rFonts w:hint="eastAsia"/>
                <w:b/>
                <w:u w:val="single"/>
              </w:rPr>
              <w:t>切割、焊接、打磨</w:t>
            </w:r>
            <w:r>
              <w:rPr>
                <w:b/>
                <w:u w:val="single"/>
              </w:rPr>
              <w:t>工序</w:t>
            </w:r>
            <w:r>
              <w:rPr>
                <w:rFonts w:hint="eastAsia"/>
                <w:b/>
                <w:u w:val="single"/>
              </w:rPr>
              <w:t>年</w:t>
            </w:r>
            <w:r>
              <w:rPr>
                <w:b/>
                <w:u w:val="single"/>
              </w:rPr>
              <w:t>工作</w:t>
            </w:r>
            <w:r>
              <w:rPr>
                <w:rFonts w:hint="eastAsia"/>
                <w:b/>
                <w:u w:val="single"/>
              </w:rPr>
              <w:t>为</w:t>
            </w:r>
            <w:r>
              <w:rPr>
                <w:b/>
                <w:u w:val="single"/>
              </w:rPr>
              <w:t>2400h。</w:t>
            </w:r>
            <w:r>
              <w:rPr>
                <w:rFonts w:hint="eastAsia"/>
                <w:b/>
                <w:u w:val="single"/>
              </w:rPr>
              <w:t>项目集气罩投影面积为0.48m</w:t>
            </w:r>
            <w:r>
              <w:rPr>
                <w:rFonts w:hint="eastAsia"/>
                <w:b/>
                <w:u w:val="single"/>
                <w:vertAlign w:val="superscript"/>
              </w:rPr>
              <w:t>2</w:t>
            </w:r>
            <w:r>
              <w:rPr>
                <w:rFonts w:hint="eastAsia"/>
                <w:b/>
                <w:u w:val="single"/>
              </w:rPr>
              <w:t>，收集效率可达90%，粉尘经集气罩吸风口收集至集尘管道中，经风量为8000m</w:t>
            </w:r>
            <w:r>
              <w:rPr>
                <w:rFonts w:hint="eastAsia"/>
                <w:b/>
                <w:u w:val="single"/>
                <w:vertAlign w:val="superscript"/>
              </w:rPr>
              <w:t>3</w:t>
            </w:r>
            <w:r>
              <w:rPr>
                <w:rFonts w:hint="eastAsia"/>
                <w:b/>
                <w:u w:val="single"/>
              </w:rPr>
              <w:t>/h的风机将废气引至袋式除尘器处理，袋式除尘器处理效率可达到95%。未被收集的废气以无组织形式排放。</w:t>
            </w:r>
            <w:r>
              <w:rPr>
                <w:b/>
                <w:bCs/>
                <w:u w:val="single"/>
              </w:rPr>
              <w:t>则</w:t>
            </w:r>
            <w:r>
              <w:rPr>
                <w:rFonts w:hint="eastAsia"/>
                <w:b/>
                <w:u w:val="single"/>
              </w:rPr>
              <w:t>项目废气产排情况见下表。</w:t>
            </w:r>
          </w:p>
          <w:p>
            <w:pPr>
              <w:pStyle w:val="7"/>
              <w:rPr>
                <w:b/>
                <w:u w:val="single"/>
              </w:rPr>
            </w:pPr>
            <w:r>
              <w:rPr>
                <w:rFonts w:hint="eastAsia"/>
                <w:b/>
                <w:u w:val="single"/>
              </w:rPr>
              <w:t>项目废气产排情况一览表</w:t>
            </w:r>
          </w:p>
          <w:tbl>
            <w:tblPr>
              <w:tblStyle w:val="21"/>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400"/>
              <w:gridCol w:w="1124"/>
              <w:gridCol w:w="986"/>
              <w:gridCol w:w="982"/>
              <w:gridCol w:w="637"/>
              <w:gridCol w:w="1125"/>
              <w:gridCol w:w="98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064" w:type="pct"/>
                  <w:gridSpan w:val="2"/>
                  <w:vMerge w:val="restart"/>
                  <w:vAlign w:val="center"/>
                </w:tcPr>
                <w:p>
                  <w:pPr>
                    <w:spacing w:line="240" w:lineRule="auto"/>
                    <w:ind w:firstLine="0" w:firstLineChars="0"/>
                    <w:jc w:val="center"/>
                    <w:rPr>
                      <w:b/>
                      <w:sz w:val="21"/>
                      <w:szCs w:val="21"/>
                      <w:u w:val="single"/>
                    </w:rPr>
                  </w:pPr>
                  <w:r>
                    <w:rPr>
                      <w:rFonts w:hint="eastAsia"/>
                      <w:b/>
                      <w:sz w:val="21"/>
                      <w:szCs w:val="21"/>
                      <w:u w:val="single"/>
                    </w:rPr>
                    <w:t>排放形式</w:t>
                  </w:r>
                </w:p>
              </w:tc>
              <w:tc>
                <w:tcPr>
                  <w:tcW w:w="1800" w:type="pct"/>
                  <w:gridSpan w:val="3"/>
                  <w:vAlign w:val="center"/>
                </w:tcPr>
                <w:p>
                  <w:pPr>
                    <w:spacing w:line="240" w:lineRule="auto"/>
                    <w:ind w:firstLine="0" w:firstLineChars="0"/>
                    <w:jc w:val="center"/>
                    <w:rPr>
                      <w:b/>
                      <w:sz w:val="21"/>
                      <w:szCs w:val="21"/>
                      <w:u w:val="single"/>
                    </w:rPr>
                  </w:pPr>
                  <w:r>
                    <w:rPr>
                      <w:rFonts w:hint="eastAsia"/>
                      <w:b/>
                      <w:sz w:val="21"/>
                      <w:szCs w:val="21"/>
                      <w:u w:val="single"/>
                    </w:rPr>
                    <w:t>产生情况</w:t>
                  </w:r>
                </w:p>
              </w:tc>
              <w:tc>
                <w:tcPr>
                  <w:tcW w:w="348" w:type="pct"/>
                  <w:vMerge w:val="restart"/>
                </w:tcPr>
                <w:p>
                  <w:pPr>
                    <w:spacing w:line="240" w:lineRule="auto"/>
                    <w:ind w:firstLine="0" w:firstLineChars="0"/>
                    <w:jc w:val="center"/>
                    <w:rPr>
                      <w:b/>
                      <w:sz w:val="21"/>
                      <w:szCs w:val="21"/>
                      <w:u w:val="single"/>
                    </w:rPr>
                  </w:pPr>
                  <w:r>
                    <w:rPr>
                      <w:rFonts w:hint="eastAsia"/>
                      <w:b/>
                      <w:sz w:val="21"/>
                      <w:szCs w:val="21"/>
                      <w:u w:val="single"/>
                    </w:rPr>
                    <w:t>效率%</w:t>
                  </w:r>
                </w:p>
              </w:tc>
              <w:tc>
                <w:tcPr>
                  <w:tcW w:w="1788" w:type="pct"/>
                  <w:gridSpan w:val="3"/>
                  <w:vAlign w:val="center"/>
                </w:tcPr>
                <w:p>
                  <w:pPr>
                    <w:spacing w:line="240" w:lineRule="auto"/>
                    <w:ind w:firstLine="0" w:firstLineChars="0"/>
                    <w:jc w:val="center"/>
                    <w:rPr>
                      <w:b/>
                      <w:sz w:val="21"/>
                      <w:szCs w:val="21"/>
                      <w:u w:val="single"/>
                    </w:rPr>
                  </w:pPr>
                  <w:r>
                    <w:rPr>
                      <w:rFonts w:hint="eastAsia"/>
                      <w:b/>
                      <w:sz w:val="21"/>
                      <w:szCs w:val="21"/>
                      <w:u w:val="single"/>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64" w:type="pct"/>
                  <w:gridSpan w:val="2"/>
                  <w:vMerge w:val="continue"/>
                  <w:vAlign w:val="center"/>
                </w:tcPr>
                <w:p>
                  <w:pPr>
                    <w:spacing w:line="240" w:lineRule="auto"/>
                    <w:ind w:firstLine="0" w:firstLineChars="0"/>
                    <w:jc w:val="center"/>
                    <w:rPr>
                      <w:b/>
                      <w:sz w:val="21"/>
                      <w:szCs w:val="21"/>
                      <w:u w:val="single"/>
                    </w:rPr>
                  </w:pP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产生量kg/a</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浓度mg/m</w:t>
                  </w:r>
                  <w:r>
                    <w:rPr>
                      <w:rFonts w:hint="eastAsia"/>
                      <w:b/>
                      <w:sz w:val="21"/>
                      <w:szCs w:val="21"/>
                      <w:u w:val="single"/>
                      <w:vertAlign w:val="superscript"/>
                    </w:rPr>
                    <w:t>3</w:t>
                  </w:r>
                </w:p>
              </w:tc>
              <w:tc>
                <w:tcPr>
                  <w:tcW w:w="572" w:type="pct"/>
                  <w:vAlign w:val="center"/>
                </w:tcPr>
                <w:p>
                  <w:pPr>
                    <w:spacing w:line="240" w:lineRule="auto"/>
                    <w:ind w:firstLine="0" w:firstLineChars="0"/>
                    <w:jc w:val="center"/>
                    <w:rPr>
                      <w:b/>
                      <w:sz w:val="21"/>
                      <w:szCs w:val="21"/>
                      <w:u w:val="single"/>
                    </w:rPr>
                  </w:pPr>
                  <w:r>
                    <w:rPr>
                      <w:rFonts w:hint="eastAsia"/>
                      <w:b/>
                      <w:sz w:val="21"/>
                      <w:szCs w:val="21"/>
                      <w:u w:val="single"/>
                    </w:rPr>
                    <w:t>速率g/h</w:t>
                  </w:r>
                </w:p>
              </w:tc>
              <w:tc>
                <w:tcPr>
                  <w:tcW w:w="348" w:type="pct"/>
                  <w:vMerge w:val="continue"/>
                </w:tcPr>
                <w:p>
                  <w:pPr>
                    <w:spacing w:line="240" w:lineRule="auto"/>
                    <w:ind w:firstLine="0" w:firstLineChars="0"/>
                    <w:jc w:val="center"/>
                    <w:rPr>
                      <w:b/>
                      <w:sz w:val="21"/>
                      <w:szCs w:val="21"/>
                      <w:u w:val="single"/>
                    </w:rPr>
                  </w:pP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排放量kg/a</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浓度mg/m</w:t>
                  </w:r>
                  <w:r>
                    <w:rPr>
                      <w:rFonts w:hint="eastAsia"/>
                      <w:b/>
                      <w:sz w:val="21"/>
                      <w:szCs w:val="21"/>
                      <w:u w:val="single"/>
                      <w:vertAlign w:val="superscript"/>
                    </w:rPr>
                    <w:t>3</w:t>
                  </w:r>
                </w:p>
              </w:tc>
              <w:tc>
                <w:tcPr>
                  <w:tcW w:w="560" w:type="pct"/>
                  <w:vAlign w:val="center"/>
                </w:tcPr>
                <w:p>
                  <w:pPr>
                    <w:spacing w:line="240" w:lineRule="auto"/>
                    <w:ind w:firstLine="0" w:firstLineChars="0"/>
                    <w:jc w:val="center"/>
                    <w:rPr>
                      <w:b/>
                      <w:sz w:val="21"/>
                      <w:szCs w:val="21"/>
                      <w:u w:val="single"/>
                    </w:rPr>
                  </w:pPr>
                  <w:r>
                    <w:rPr>
                      <w:rFonts w:hint="eastAsia"/>
                      <w:b/>
                      <w:sz w:val="21"/>
                      <w:szCs w:val="21"/>
                      <w:u w:val="single"/>
                    </w:rPr>
                    <w:t>速率g/h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50" w:type="pct"/>
                  <w:vMerge w:val="restart"/>
                  <w:vAlign w:val="center"/>
                </w:tcPr>
                <w:p>
                  <w:pPr>
                    <w:spacing w:line="240" w:lineRule="auto"/>
                    <w:ind w:firstLine="0" w:firstLineChars="0"/>
                    <w:jc w:val="center"/>
                    <w:rPr>
                      <w:b/>
                      <w:sz w:val="21"/>
                      <w:szCs w:val="21"/>
                      <w:u w:val="single"/>
                    </w:rPr>
                  </w:pPr>
                  <w:r>
                    <w:rPr>
                      <w:rFonts w:hint="eastAsia"/>
                      <w:b/>
                      <w:sz w:val="21"/>
                      <w:szCs w:val="21"/>
                      <w:u w:val="single"/>
                    </w:rPr>
                    <w:t>有组织</w:t>
                  </w:r>
                </w:p>
              </w:tc>
              <w:tc>
                <w:tcPr>
                  <w:tcW w:w="814" w:type="pct"/>
                  <w:vAlign w:val="center"/>
                </w:tcPr>
                <w:p>
                  <w:pPr>
                    <w:spacing w:line="240" w:lineRule="auto"/>
                    <w:ind w:firstLine="0" w:firstLineChars="0"/>
                    <w:jc w:val="center"/>
                    <w:rPr>
                      <w:b/>
                      <w:sz w:val="21"/>
                      <w:szCs w:val="21"/>
                      <w:u w:val="single"/>
                    </w:rPr>
                  </w:pPr>
                  <w:r>
                    <w:rPr>
                      <w:rFonts w:hint="eastAsia"/>
                      <w:b/>
                      <w:sz w:val="21"/>
                      <w:szCs w:val="21"/>
                      <w:u w:val="single"/>
                    </w:rPr>
                    <w:t>切割粉尘</w:t>
                  </w: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6</w:t>
                  </w:r>
                  <w:r>
                    <w:rPr>
                      <w:b/>
                      <w:sz w:val="21"/>
                      <w:szCs w:val="21"/>
                      <w:u w:val="single"/>
                    </w:rPr>
                    <w:t>2.208</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3</w:t>
                  </w:r>
                  <w:r>
                    <w:rPr>
                      <w:b/>
                      <w:sz w:val="21"/>
                      <w:szCs w:val="21"/>
                      <w:u w:val="single"/>
                    </w:rPr>
                    <w:t>.24</w:t>
                  </w:r>
                </w:p>
              </w:tc>
              <w:tc>
                <w:tcPr>
                  <w:tcW w:w="572" w:type="pct"/>
                  <w:vAlign w:val="center"/>
                </w:tcPr>
                <w:p>
                  <w:pPr>
                    <w:spacing w:line="240" w:lineRule="auto"/>
                    <w:ind w:firstLine="0" w:firstLineChars="0"/>
                    <w:jc w:val="center"/>
                    <w:rPr>
                      <w:b/>
                      <w:sz w:val="21"/>
                      <w:szCs w:val="21"/>
                      <w:u w:val="single"/>
                    </w:rPr>
                  </w:pPr>
                  <w:r>
                    <w:rPr>
                      <w:rFonts w:hint="eastAsia"/>
                      <w:b/>
                      <w:sz w:val="21"/>
                      <w:szCs w:val="21"/>
                      <w:u w:val="single"/>
                    </w:rPr>
                    <w:t>2</w:t>
                  </w:r>
                  <w:r>
                    <w:rPr>
                      <w:b/>
                      <w:sz w:val="21"/>
                      <w:szCs w:val="21"/>
                      <w:u w:val="single"/>
                    </w:rPr>
                    <w:t>5.92</w:t>
                  </w:r>
                </w:p>
              </w:tc>
              <w:tc>
                <w:tcPr>
                  <w:tcW w:w="348" w:type="pct"/>
                  <w:vMerge w:val="restart"/>
                </w:tcPr>
                <w:p>
                  <w:pPr>
                    <w:spacing w:line="240" w:lineRule="auto"/>
                    <w:ind w:firstLine="0" w:firstLineChars="0"/>
                    <w:jc w:val="center"/>
                    <w:rPr>
                      <w:b/>
                      <w:sz w:val="21"/>
                      <w:szCs w:val="21"/>
                      <w:u w:val="single"/>
                    </w:rPr>
                  </w:pPr>
                  <w:r>
                    <w:rPr>
                      <w:rFonts w:hint="eastAsia"/>
                      <w:b/>
                      <w:sz w:val="21"/>
                      <w:szCs w:val="21"/>
                      <w:u w:val="single"/>
                    </w:rPr>
                    <w:t>9</w:t>
                  </w:r>
                  <w:r>
                    <w:rPr>
                      <w:b/>
                      <w:sz w:val="21"/>
                      <w:szCs w:val="21"/>
                      <w:u w:val="single"/>
                    </w:rPr>
                    <w:t>5</w:t>
                  </w: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3</w:t>
                  </w:r>
                  <w:r>
                    <w:rPr>
                      <w:b/>
                      <w:sz w:val="21"/>
                      <w:szCs w:val="21"/>
                      <w:u w:val="single"/>
                    </w:rPr>
                    <w:t>.1104</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.162</w:t>
                  </w:r>
                </w:p>
              </w:tc>
              <w:tc>
                <w:tcPr>
                  <w:tcW w:w="560"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250" w:type="pct"/>
                  <w:vMerge w:val="continue"/>
                  <w:vAlign w:val="center"/>
                </w:tcPr>
                <w:p>
                  <w:pPr>
                    <w:spacing w:line="240" w:lineRule="auto"/>
                    <w:ind w:firstLine="0" w:firstLineChars="0"/>
                    <w:jc w:val="center"/>
                    <w:rPr>
                      <w:b/>
                      <w:sz w:val="21"/>
                      <w:szCs w:val="21"/>
                      <w:u w:val="single"/>
                    </w:rPr>
                  </w:pPr>
                </w:p>
              </w:tc>
              <w:tc>
                <w:tcPr>
                  <w:tcW w:w="814" w:type="pct"/>
                  <w:vAlign w:val="center"/>
                </w:tcPr>
                <w:p>
                  <w:pPr>
                    <w:spacing w:line="240" w:lineRule="auto"/>
                    <w:ind w:firstLine="0" w:firstLineChars="0"/>
                    <w:jc w:val="center"/>
                    <w:rPr>
                      <w:b/>
                      <w:sz w:val="21"/>
                      <w:szCs w:val="21"/>
                      <w:u w:val="single"/>
                    </w:rPr>
                  </w:pPr>
                  <w:r>
                    <w:rPr>
                      <w:rFonts w:hint="eastAsia"/>
                      <w:b/>
                      <w:sz w:val="21"/>
                      <w:szCs w:val="21"/>
                      <w:u w:val="single"/>
                    </w:rPr>
                    <w:t>焊接烟尘</w:t>
                  </w: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0.8</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.56</w:t>
                  </w:r>
                </w:p>
              </w:tc>
              <w:tc>
                <w:tcPr>
                  <w:tcW w:w="572" w:type="pct"/>
                  <w:vAlign w:val="center"/>
                </w:tcPr>
                <w:p>
                  <w:pPr>
                    <w:spacing w:line="240" w:lineRule="auto"/>
                    <w:ind w:firstLine="0" w:firstLineChars="0"/>
                    <w:jc w:val="center"/>
                    <w:rPr>
                      <w:b/>
                      <w:sz w:val="21"/>
                      <w:szCs w:val="21"/>
                      <w:u w:val="single"/>
                    </w:rPr>
                  </w:pPr>
                  <w:r>
                    <w:rPr>
                      <w:rFonts w:hint="eastAsia"/>
                      <w:b/>
                      <w:sz w:val="21"/>
                      <w:szCs w:val="21"/>
                      <w:u w:val="single"/>
                    </w:rPr>
                    <w:t>4</w:t>
                  </w:r>
                  <w:r>
                    <w:rPr>
                      <w:b/>
                      <w:sz w:val="21"/>
                      <w:szCs w:val="21"/>
                      <w:u w:val="single"/>
                    </w:rPr>
                    <w:t>.5</w:t>
                  </w:r>
                </w:p>
              </w:tc>
              <w:tc>
                <w:tcPr>
                  <w:tcW w:w="348" w:type="pct"/>
                  <w:vMerge w:val="continue"/>
                </w:tcPr>
                <w:p>
                  <w:pPr>
                    <w:spacing w:line="240" w:lineRule="auto"/>
                    <w:ind w:firstLine="0" w:firstLineChars="0"/>
                    <w:jc w:val="center"/>
                    <w:rPr>
                      <w:b/>
                      <w:sz w:val="21"/>
                      <w:szCs w:val="21"/>
                      <w:u w:val="single"/>
                    </w:rPr>
                  </w:pP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.54</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.028</w:t>
                  </w:r>
                </w:p>
              </w:tc>
              <w:tc>
                <w:tcPr>
                  <w:tcW w:w="560"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50" w:type="pct"/>
                  <w:vMerge w:val="continue"/>
                  <w:vAlign w:val="center"/>
                </w:tcPr>
                <w:p>
                  <w:pPr>
                    <w:spacing w:line="240" w:lineRule="auto"/>
                    <w:ind w:firstLine="0" w:firstLineChars="0"/>
                    <w:jc w:val="center"/>
                    <w:rPr>
                      <w:b/>
                      <w:sz w:val="21"/>
                      <w:szCs w:val="21"/>
                      <w:u w:val="single"/>
                    </w:rPr>
                  </w:pPr>
                </w:p>
              </w:tc>
              <w:tc>
                <w:tcPr>
                  <w:tcW w:w="814" w:type="pct"/>
                  <w:vAlign w:val="center"/>
                </w:tcPr>
                <w:p>
                  <w:pPr>
                    <w:spacing w:line="240" w:lineRule="auto"/>
                    <w:ind w:firstLine="0" w:firstLineChars="0"/>
                    <w:jc w:val="center"/>
                    <w:rPr>
                      <w:b/>
                      <w:sz w:val="21"/>
                      <w:szCs w:val="21"/>
                      <w:u w:val="single"/>
                    </w:rPr>
                  </w:pPr>
                  <w:r>
                    <w:rPr>
                      <w:rFonts w:hint="eastAsia"/>
                      <w:b/>
                      <w:sz w:val="21"/>
                      <w:szCs w:val="21"/>
                      <w:u w:val="single"/>
                    </w:rPr>
                    <w:t>打磨粉尘</w:t>
                  </w: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2</w:t>
                  </w:r>
                  <w:r>
                    <w:rPr>
                      <w:b/>
                      <w:sz w:val="21"/>
                      <w:szCs w:val="21"/>
                      <w:u w:val="single"/>
                    </w:rPr>
                    <w:t>70</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4.06</w:t>
                  </w:r>
                </w:p>
              </w:tc>
              <w:tc>
                <w:tcPr>
                  <w:tcW w:w="572"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12.5</w:t>
                  </w:r>
                </w:p>
              </w:tc>
              <w:tc>
                <w:tcPr>
                  <w:tcW w:w="348" w:type="pct"/>
                  <w:vMerge w:val="continue"/>
                </w:tcPr>
                <w:p>
                  <w:pPr>
                    <w:spacing w:line="240" w:lineRule="auto"/>
                    <w:ind w:firstLine="0" w:firstLineChars="0"/>
                    <w:jc w:val="center"/>
                    <w:rPr>
                      <w:b/>
                      <w:sz w:val="21"/>
                      <w:szCs w:val="21"/>
                      <w:u w:val="single"/>
                    </w:rPr>
                  </w:pPr>
                </w:p>
              </w:tc>
              <w:tc>
                <w:tcPr>
                  <w:tcW w:w="654"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3.5</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.703</w:t>
                  </w:r>
                </w:p>
              </w:tc>
              <w:tc>
                <w:tcPr>
                  <w:tcW w:w="560" w:type="pct"/>
                  <w:vAlign w:val="center"/>
                </w:tcPr>
                <w:p>
                  <w:pPr>
                    <w:spacing w:line="240" w:lineRule="auto"/>
                    <w:ind w:firstLine="0" w:firstLineChars="0"/>
                    <w:jc w:val="center"/>
                    <w:rPr>
                      <w:b/>
                      <w:sz w:val="21"/>
                      <w:szCs w:val="21"/>
                      <w:u w:val="single"/>
                    </w:rPr>
                  </w:pPr>
                  <w:r>
                    <w:rPr>
                      <w:rFonts w:hint="eastAsia"/>
                      <w:b/>
                      <w:sz w:val="21"/>
                      <w:szCs w:val="21"/>
                      <w:u w:val="single"/>
                    </w:rPr>
                    <w:t>5</w:t>
                  </w:r>
                  <w:r>
                    <w:rPr>
                      <w:b/>
                      <w:sz w:val="21"/>
                      <w:szCs w:val="21"/>
                      <w:u w:val="single"/>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64" w:type="pct"/>
                  <w:gridSpan w:val="2"/>
                  <w:vAlign w:val="center"/>
                </w:tcPr>
                <w:p>
                  <w:pPr>
                    <w:spacing w:line="240" w:lineRule="auto"/>
                    <w:ind w:firstLine="0" w:firstLineChars="0"/>
                    <w:jc w:val="center"/>
                    <w:rPr>
                      <w:b/>
                      <w:sz w:val="21"/>
                      <w:szCs w:val="21"/>
                      <w:u w:val="single"/>
                    </w:rPr>
                  </w:pPr>
                  <w:r>
                    <w:rPr>
                      <w:rFonts w:hint="eastAsia"/>
                      <w:b/>
                      <w:sz w:val="21"/>
                      <w:szCs w:val="21"/>
                      <w:u w:val="single"/>
                    </w:rPr>
                    <w:t>无组织</w:t>
                  </w:r>
                </w:p>
              </w:tc>
              <w:tc>
                <w:tcPr>
                  <w:tcW w:w="654" w:type="pct"/>
                  <w:vAlign w:val="center"/>
                </w:tcPr>
                <w:p>
                  <w:pPr>
                    <w:spacing w:line="240" w:lineRule="auto"/>
                    <w:ind w:firstLine="0" w:firstLineChars="0"/>
                    <w:jc w:val="center"/>
                    <w:rPr>
                      <w:b/>
                      <w:sz w:val="21"/>
                      <w:szCs w:val="21"/>
                      <w:u w:val="single"/>
                    </w:rPr>
                  </w:pPr>
                  <w:r>
                    <w:rPr>
                      <w:b/>
                      <w:sz w:val="21"/>
                      <w:szCs w:val="21"/>
                      <w:u w:val="single"/>
                    </w:rPr>
                    <w:t>38.112</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w:t>
                  </w:r>
                </w:p>
              </w:tc>
              <w:tc>
                <w:tcPr>
                  <w:tcW w:w="572"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5.88</w:t>
                  </w:r>
                </w:p>
              </w:tc>
              <w:tc>
                <w:tcPr>
                  <w:tcW w:w="348" w:type="pct"/>
                </w:tcPr>
                <w:p>
                  <w:pPr>
                    <w:spacing w:line="240" w:lineRule="auto"/>
                    <w:ind w:firstLine="0" w:firstLineChars="0"/>
                    <w:jc w:val="center"/>
                    <w:rPr>
                      <w:b/>
                      <w:sz w:val="21"/>
                      <w:szCs w:val="21"/>
                      <w:u w:val="single"/>
                    </w:rPr>
                  </w:pPr>
                  <w:r>
                    <w:rPr>
                      <w:rFonts w:hint="eastAsia"/>
                      <w:b/>
                      <w:sz w:val="21"/>
                      <w:szCs w:val="21"/>
                      <w:u w:val="single"/>
                    </w:rPr>
                    <w:t>/</w:t>
                  </w:r>
                </w:p>
              </w:tc>
              <w:tc>
                <w:tcPr>
                  <w:tcW w:w="654" w:type="pct"/>
                  <w:vAlign w:val="center"/>
                </w:tcPr>
                <w:p>
                  <w:pPr>
                    <w:spacing w:line="240" w:lineRule="auto"/>
                    <w:ind w:firstLine="0" w:firstLineChars="0"/>
                    <w:jc w:val="center"/>
                    <w:rPr>
                      <w:b/>
                      <w:sz w:val="21"/>
                      <w:szCs w:val="21"/>
                      <w:u w:val="single"/>
                    </w:rPr>
                  </w:pPr>
                  <w:r>
                    <w:rPr>
                      <w:b/>
                      <w:sz w:val="21"/>
                      <w:szCs w:val="21"/>
                      <w:u w:val="single"/>
                    </w:rPr>
                    <w:t>38.112</w:t>
                  </w:r>
                </w:p>
              </w:tc>
              <w:tc>
                <w:tcPr>
                  <w:tcW w:w="574" w:type="pct"/>
                  <w:vAlign w:val="center"/>
                </w:tcPr>
                <w:p>
                  <w:pPr>
                    <w:spacing w:line="240" w:lineRule="auto"/>
                    <w:ind w:firstLine="0" w:firstLineChars="0"/>
                    <w:jc w:val="center"/>
                    <w:rPr>
                      <w:b/>
                      <w:sz w:val="21"/>
                      <w:szCs w:val="21"/>
                      <w:u w:val="single"/>
                    </w:rPr>
                  </w:pPr>
                  <w:r>
                    <w:rPr>
                      <w:rFonts w:hint="eastAsia"/>
                      <w:b/>
                      <w:sz w:val="21"/>
                      <w:szCs w:val="21"/>
                      <w:u w:val="single"/>
                    </w:rPr>
                    <w:t>/</w:t>
                  </w:r>
                </w:p>
              </w:tc>
              <w:tc>
                <w:tcPr>
                  <w:tcW w:w="560" w:type="pct"/>
                  <w:vAlign w:val="center"/>
                </w:tcPr>
                <w:p>
                  <w:pPr>
                    <w:spacing w:line="240" w:lineRule="auto"/>
                    <w:ind w:firstLine="0" w:firstLineChars="0"/>
                    <w:jc w:val="center"/>
                    <w:rPr>
                      <w:b/>
                      <w:sz w:val="21"/>
                      <w:szCs w:val="21"/>
                      <w:u w:val="single"/>
                    </w:rPr>
                  </w:pPr>
                  <w:r>
                    <w:rPr>
                      <w:rFonts w:hint="eastAsia"/>
                      <w:b/>
                      <w:sz w:val="21"/>
                      <w:szCs w:val="21"/>
                      <w:u w:val="single"/>
                    </w:rPr>
                    <w:t>1</w:t>
                  </w:r>
                  <w:r>
                    <w:rPr>
                      <w:b/>
                      <w:sz w:val="21"/>
                      <w:szCs w:val="21"/>
                      <w:u w:val="single"/>
                    </w:rPr>
                    <w:t>5.88</w:t>
                  </w:r>
                </w:p>
              </w:tc>
            </w:tr>
          </w:tbl>
          <w:p>
            <w:pPr>
              <w:ind w:firstLine="482"/>
              <w:rPr>
                <w:b/>
                <w:u w:val="single"/>
              </w:rPr>
            </w:pPr>
            <w:r>
              <w:rPr>
                <w:rFonts w:hint="eastAsia"/>
                <w:b/>
                <w:u w:val="single"/>
              </w:rPr>
              <w:t>采取以上措施后本项目颗粒物有组织排放满足《大气污染物综合排放标准》（GB16297-1996）表2的相关要求（最高允许排放浓度120mg/m</w:t>
            </w:r>
            <w:r>
              <w:rPr>
                <w:rFonts w:hint="eastAsia"/>
                <w:b/>
                <w:u w:val="single"/>
                <w:vertAlign w:val="superscript"/>
              </w:rPr>
              <w:t>3</w:t>
            </w:r>
            <w:r>
              <w:rPr>
                <w:rFonts w:hint="eastAsia"/>
                <w:b/>
                <w:u w:val="single"/>
              </w:rPr>
              <w:t>，15m高排气筒排放最高允许排放速率3.5kg/h）。</w:t>
            </w:r>
          </w:p>
          <w:p>
            <w:pPr>
              <w:ind w:firstLine="482"/>
              <w:rPr>
                <w:b/>
                <w:u w:val="single"/>
              </w:rPr>
            </w:pPr>
            <w:r>
              <w:rPr>
                <w:rFonts w:hint="eastAsia"/>
                <w:b/>
                <w:u w:val="single"/>
              </w:rPr>
              <w:t>（2）大气环境影响预测分析</w:t>
            </w:r>
          </w:p>
          <w:p>
            <w:pPr>
              <w:ind w:firstLine="482"/>
              <w:rPr>
                <w:b/>
                <w:u w:val="single"/>
              </w:rPr>
            </w:pPr>
            <w:r>
              <w:rPr>
                <w:rFonts w:hint="eastAsia"/>
                <w:b/>
                <w:u w:val="single"/>
              </w:rPr>
              <w:t>按照《环境影响评价技术导则—大气环境》（</w:t>
            </w:r>
            <w:r>
              <w:rPr>
                <w:b/>
                <w:u w:val="single"/>
              </w:rPr>
              <w:t>HJ2.2-2018</w:t>
            </w:r>
            <w:r>
              <w:rPr>
                <w:rFonts w:hint="eastAsia"/>
                <w:b/>
                <w:u w:val="single"/>
              </w:rPr>
              <w:t>）推荐的估算模式，预测本项目废气影响情况，具体内容如下表所示。</w:t>
            </w:r>
          </w:p>
          <w:p>
            <w:pPr>
              <w:pStyle w:val="7"/>
              <w:rPr>
                <w:b/>
                <w:u w:val="single"/>
              </w:rPr>
            </w:pPr>
            <w:r>
              <w:rPr>
                <w:rFonts w:hint="eastAsia"/>
                <w:b/>
                <w:u w:val="single"/>
                <w:lang w:val="zh-CN"/>
              </w:rPr>
              <w:t>有组织废气污染源清单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515"/>
              <w:gridCol w:w="1205"/>
              <w:gridCol w:w="1109"/>
              <w:gridCol w:w="692"/>
              <w:gridCol w:w="671"/>
              <w:gridCol w:w="730"/>
              <w:gridCol w:w="755"/>
              <w:gridCol w:w="433"/>
              <w:gridCol w:w="531"/>
              <w:gridCol w:w="67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编号</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名称</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排气筒底部中心坐标</w:t>
                  </w: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排气筒底部海拔高度</w:t>
                  </w:r>
                </w:p>
              </w:tc>
              <w:tc>
                <w:tcPr>
                  <w:tcW w:w="6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烟气流速</w:t>
                  </w:r>
                  <w:r>
                    <w:rPr>
                      <w:b/>
                      <w:bCs/>
                      <w:sz w:val="21"/>
                      <w:szCs w:val="21"/>
                      <w:u w:val="single"/>
                    </w:rPr>
                    <w:t>(m/s)</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排放速率</w:t>
                  </w:r>
                  <w:r>
                    <w:rPr>
                      <w:b/>
                      <w:bCs/>
                      <w:sz w:val="21"/>
                      <w:szCs w:val="21"/>
                      <w:u w:val="single"/>
                    </w:rPr>
                    <w:t>g/h</w:t>
                  </w:r>
                </w:p>
              </w:tc>
              <w:tc>
                <w:tcPr>
                  <w:tcW w:w="7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年排放小时数（</w:t>
                  </w:r>
                  <w:r>
                    <w:rPr>
                      <w:b/>
                      <w:bCs/>
                      <w:sz w:val="21"/>
                      <w:szCs w:val="21"/>
                      <w:u w:val="single"/>
                    </w:rPr>
                    <w:t>h</w:t>
                  </w:r>
                  <w:r>
                    <w:rPr>
                      <w:rFonts w:hint="eastAsia"/>
                      <w:b/>
                      <w:bCs/>
                      <w:sz w:val="21"/>
                      <w:szCs w:val="21"/>
                      <w:u w:val="single"/>
                    </w:rPr>
                    <w:t>）</w:t>
                  </w: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排放工况</w:t>
                  </w:r>
                </w:p>
              </w:tc>
              <w:tc>
                <w:tcPr>
                  <w:tcW w:w="17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X</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Y</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高度</w:t>
                  </w:r>
                  <w:r>
                    <w:rPr>
                      <w:b/>
                      <w:sz w:val="21"/>
                      <w:szCs w:val="21"/>
                      <w:u w:val="single"/>
                    </w:rPr>
                    <w:t>(m)</w:t>
                  </w:r>
                </w:p>
              </w:tc>
              <w:tc>
                <w:tcPr>
                  <w:tcW w:w="6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内径（</w:t>
                  </w:r>
                  <w:r>
                    <w:rPr>
                      <w:b/>
                      <w:sz w:val="21"/>
                      <w:szCs w:val="21"/>
                      <w:u w:val="single"/>
                    </w:rPr>
                    <w:t>m)</w:t>
                  </w:r>
                </w:p>
              </w:tc>
              <w:tc>
                <w:tcPr>
                  <w:tcW w:w="5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温度</w:t>
                  </w:r>
                  <w:r>
                    <w:rPr>
                      <w:b/>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DA001</w:t>
                  </w:r>
                </w:p>
              </w:tc>
              <w:tc>
                <w:tcPr>
                  <w:tcW w:w="535"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颗粒物</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114.601560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35.086813</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05.5</w:t>
                  </w:r>
                </w:p>
              </w:tc>
              <w:tc>
                <w:tcPr>
                  <w:tcW w:w="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7</w:t>
                  </w:r>
                  <w:r>
                    <w:rPr>
                      <w:b/>
                      <w:sz w:val="21"/>
                      <w:szCs w:val="21"/>
                      <w:u w:val="single"/>
                    </w:rPr>
                    <w:t>.86</w:t>
                  </w:r>
                </w:p>
              </w:tc>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.296</w:t>
                  </w:r>
                </w:p>
              </w:tc>
              <w:tc>
                <w:tcPr>
                  <w:tcW w:w="7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2400</w:t>
                  </w:r>
                </w:p>
              </w:tc>
              <w:tc>
                <w:tcPr>
                  <w:tcW w:w="434"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正常</w:t>
                  </w:r>
                </w:p>
              </w:tc>
              <w:tc>
                <w:tcPr>
                  <w:tcW w:w="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15</w:t>
                  </w:r>
                </w:p>
              </w:tc>
              <w:tc>
                <w:tcPr>
                  <w:tcW w:w="6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0.3</w:t>
                  </w:r>
                </w:p>
              </w:tc>
              <w:tc>
                <w:tcPr>
                  <w:tcW w:w="5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DA002</w:t>
                  </w:r>
                </w:p>
              </w:tc>
              <w:tc>
                <w:tcPr>
                  <w:tcW w:w="535" w:type="dxa"/>
                  <w:vMerge w:val="continue"/>
                  <w:tcBorders>
                    <w:left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114.602730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35.086813</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105.5</w:t>
                  </w:r>
                </w:p>
              </w:tc>
              <w:tc>
                <w:tcPr>
                  <w:tcW w:w="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7.86</w:t>
                  </w:r>
                </w:p>
              </w:tc>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0.225</w:t>
                  </w:r>
                </w:p>
              </w:tc>
              <w:tc>
                <w:tcPr>
                  <w:tcW w:w="7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2400</w:t>
                  </w:r>
                </w:p>
              </w:tc>
              <w:tc>
                <w:tcPr>
                  <w:tcW w:w="434" w:type="dxa"/>
                  <w:vMerge w:val="continue"/>
                  <w:tcBorders>
                    <w:left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p>
              </w:tc>
              <w:tc>
                <w:tcPr>
                  <w:tcW w:w="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15</w:t>
                  </w:r>
                </w:p>
              </w:tc>
              <w:tc>
                <w:tcPr>
                  <w:tcW w:w="6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0.3</w:t>
                  </w:r>
                </w:p>
              </w:tc>
              <w:tc>
                <w:tcPr>
                  <w:tcW w:w="5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DA003</w:t>
                  </w:r>
                </w:p>
              </w:tc>
              <w:tc>
                <w:tcPr>
                  <w:tcW w:w="53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114.602730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35.085945</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1</w:t>
                  </w:r>
                  <w:r>
                    <w:rPr>
                      <w:b/>
                      <w:sz w:val="21"/>
                      <w:szCs w:val="21"/>
                      <w:u w:val="single"/>
                    </w:rPr>
                    <w:t>05.5</w:t>
                  </w:r>
                </w:p>
              </w:tc>
              <w:tc>
                <w:tcPr>
                  <w:tcW w:w="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7</w:t>
                  </w:r>
                  <w:r>
                    <w:rPr>
                      <w:b/>
                      <w:sz w:val="21"/>
                      <w:szCs w:val="21"/>
                      <w:u w:val="single"/>
                    </w:rPr>
                    <w:t>.86</w:t>
                  </w:r>
                </w:p>
              </w:tc>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sz w:val="21"/>
                      <w:szCs w:val="21"/>
                      <w:u w:val="single"/>
                    </w:rPr>
                  </w:pPr>
                  <w:r>
                    <w:rPr>
                      <w:rFonts w:hint="eastAsia"/>
                      <w:b/>
                      <w:sz w:val="21"/>
                      <w:szCs w:val="21"/>
                      <w:u w:val="single"/>
                    </w:rPr>
                    <w:t>5</w:t>
                  </w:r>
                  <w:r>
                    <w:rPr>
                      <w:b/>
                      <w:sz w:val="21"/>
                      <w:szCs w:val="21"/>
                      <w:u w:val="single"/>
                    </w:rPr>
                    <w:t>.625</w:t>
                  </w:r>
                </w:p>
              </w:tc>
              <w:tc>
                <w:tcPr>
                  <w:tcW w:w="7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2400</w:t>
                  </w:r>
                </w:p>
              </w:tc>
              <w:tc>
                <w:tcPr>
                  <w:tcW w:w="434"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p>
              </w:tc>
              <w:tc>
                <w:tcPr>
                  <w:tcW w:w="525"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15</w:t>
                  </w:r>
                </w:p>
              </w:tc>
              <w:tc>
                <w:tcPr>
                  <w:tcW w:w="661"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0.3</w:t>
                  </w:r>
                </w:p>
              </w:tc>
              <w:tc>
                <w:tcPr>
                  <w:tcW w:w="57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auto"/>
                    <w:ind w:firstLine="0" w:firstLineChars="0"/>
                    <w:jc w:val="center"/>
                    <w:rPr>
                      <w:b/>
                      <w:sz w:val="21"/>
                      <w:szCs w:val="21"/>
                      <w:u w:val="single"/>
                    </w:rPr>
                  </w:pPr>
                  <w:r>
                    <w:rPr>
                      <w:b/>
                      <w:sz w:val="21"/>
                      <w:szCs w:val="21"/>
                      <w:u w:val="single"/>
                    </w:rPr>
                    <w:t>20</w:t>
                  </w:r>
                </w:p>
              </w:tc>
            </w:tr>
          </w:tbl>
          <w:p>
            <w:pPr>
              <w:pStyle w:val="7"/>
              <w:rPr>
                <w:b/>
                <w:u w:val="single"/>
              </w:rPr>
            </w:pPr>
            <w:r>
              <w:rPr>
                <w:rFonts w:hint="eastAsia"/>
                <w:b/>
                <w:u w:val="single"/>
                <w:lang w:val="zh-CN"/>
              </w:rPr>
              <w:t>本</w:t>
            </w:r>
            <w:r>
              <w:rPr>
                <w:rFonts w:hint="eastAsia"/>
                <w:b/>
                <w:u w:val="single"/>
              </w:rPr>
              <w:t>项目无组织废气排放一览表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656"/>
              <w:gridCol w:w="1202"/>
              <w:gridCol w:w="1109"/>
              <w:gridCol w:w="737"/>
              <w:gridCol w:w="612"/>
              <w:gridCol w:w="603"/>
              <w:gridCol w:w="618"/>
              <w:gridCol w:w="427"/>
              <w:gridCol w:w="899"/>
              <w:gridCol w:w="66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30"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编号</w:t>
                  </w:r>
                </w:p>
              </w:tc>
              <w:tc>
                <w:tcPr>
                  <w:tcW w:w="742"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名称</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排气筒底部中心坐标</w:t>
                  </w:r>
                </w:p>
              </w:tc>
              <w:tc>
                <w:tcPr>
                  <w:tcW w:w="755"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面源海拔高度</w:t>
                  </w:r>
                  <w:r>
                    <w:rPr>
                      <w:b/>
                      <w:bCs/>
                      <w:sz w:val="21"/>
                      <w:szCs w:val="21"/>
                      <w:u w:val="single"/>
                    </w:rPr>
                    <w:t>m</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面源长度</w:t>
                  </w:r>
                  <w:r>
                    <w:rPr>
                      <w:b/>
                      <w:bCs/>
                      <w:sz w:val="21"/>
                      <w:szCs w:val="21"/>
                      <w:u w:val="single"/>
                    </w:rPr>
                    <w:t>m</w:t>
                  </w:r>
                </w:p>
              </w:tc>
              <w:tc>
                <w:tcPr>
                  <w:tcW w:w="669"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面源宽度</w:t>
                  </w:r>
                  <w:r>
                    <w:rPr>
                      <w:b/>
                      <w:bCs/>
                      <w:sz w:val="21"/>
                      <w:szCs w:val="21"/>
                      <w:u w:val="single"/>
                    </w:rPr>
                    <w:t>m</w:t>
                  </w:r>
                </w:p>
              </w:tc>
              <w:tc>
                <w:tcPr>
                  <w:tcW w:w="651"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与正北方向夹角</w:t>
                  </w: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排放工况</w:t>
                  </w:r>
                </w:p>
              </w:tc>
              <w:tc>
                <w:tcPr>
                  <w:tcW w:w="794" w:type="dxa"/>
                  <w:vMerge w:val="restart"/>
                  <w:tcBorders>
                    <w:top w:val="single" w:color="auto" w:sz="4" w:space="0"/>
                    <w:left w:val="single" w:color="auto" w:sz="4" w:space="0"/>
                    <w:bottom w:val="single" w:color="000000"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排放速率k</w:t>
                  </w:r>
                  <w:r>
                    <w:rPr>
                      <w:b/>
                      <w:bCs/>
                      <w:sz w:val="21"/>
                      <w:szCs w:val="21"/>
                      <w:u w:val="single"/>
                    </w:rPr>
                    <w:t>g/h</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有效排放高度</w:t>
                  </w:r>
                  <w:r>
                    <w:rPr>
                      <w:b/>
                      <w:bCs/>
                      <w:sz w:val="21"/>
                      <w:szCs w:val="21"/>
                      <w:u w:val="single"/>
                    </w:rPr>
                    <w:t>m</w:t>
                  </w:r>
                </w:p>
              </w:tc>
              <w:tc>
                <w:tcPr>
                  <w:tcW w:w="807" w:type="dxa"/>
                  <w:vMerge w:val="restart"/>
                  <w:tcBorders>
                    <w:top w:val="single" w:color="auto" w:sz="4" w:space="0"/>
                    <w:left w:val="single" w:color="auto" w:sz="4" w:space="0"/>
                    <w:bottom w:val="single" w:color="000000"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年排放小时数</w:t>
                  </w:r>
                  <w:r>
                    <w:rPr>
                      <w:b/>
                      <w:bCs/>
                      <w:sz w:val="21"/>
                      <w:szCs w:val="21"/>
                      <w:u w:val="singl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951"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b/>
                      <w:bCs/>
                      <w:sz w:val="21"/>
                      <w:szCs w:val="21"/>
                      <w:u w:val="single"/>
                    </w:rPr>
                    <w:t>X</w:t>
                  </w:r>
                </w:p>
              </w:tc>
              <w:tc>
                <w:tcPr>
                  <w:tcW w:w="1056"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b/>
                      <w:bCs/>
                      <w:sz w:val="21"/>
                      <w:szCs w:val="21"/>
                      <w:u w:val="single"/>
                    </w:rPr>
                    <w:t>Y</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jc w:val="both"/>
                    <w:rPr>
                      <w:b/>
                      <w:bCs/>
                      <w:sz w:val="21"/>
                      <w:szCs w:val="21"/>
                      <w:u w:val="single"/>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jc w:val="both"/>
                    <w:rPr>
                      <w:b/>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30"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车间</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rFonts w:hint="eastAsia"/>
                      <w:b/>
                      <w:bCs/>
                      <w:sz w:val="21"/>
                      <w:szCs w:val="21"/>
                      <w:u w:val="single"/>
                    </w:rPr>
                    <w:t>粉尘</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114.602730</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
                      <w:bCs/>
                      <w:sz w:val="21"/>
                      <w:szCs w:val="21"/>
                      <w:u w:val="single"/>
                    </w:rPr>
                  </w:pPr>
                  <w:r>
                    <w:rPr>
                      <w:b/>
                      <w:bCs/>
                      <w:sz w:val="21"/>
                      <w:szCs w:val="21"/>
                      <w:u w:val="single"/>
                    </w:rPr>
                    <w:t>35.086813</w:t>
                  </w:r>
                </w:p>
              </w:tc>
              <w:tc>
                <w:tcPr>
                  <w:tcW w:w="755"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b/>
                      <w:bCs/>
                      <w:sz w:val="21"/>
                      <w:szCs w:val="21"/>
                      <w:u w:val="single"/>
                    </w:rPr>
                    <w:t>105.5</w:t>
                  </w:r>
                </w:p>
              </w:tc>
              <w:tc>
                <w:tcPr>
                  <w:tcW w:w="682"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b/>
                      <w:bCs/>
                      <w:sz w:val="21"/>
                      <w:szCs w:val="21"/>
                      <w:u w:val="single"/>
                    </w:rPr>
                    <w:t>70</w:t>
                  </w:r>
                </w:p>
              </w:tc>
              <w:tc>
                <w:tcPr>
                  <w:tcW w:w="669"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b/>
                      <w:bCs/>
                      <w:sz w:val="21"/>
                      <w:szCs w:val="21"/>
                      <w:u w:val="single"/>
                    </w:rPr>
                    <w:t>57</w:t>
                  </w:r>
                </w:p>
              </w:tc>
              <w:tc>
                <w:tcPr>
                  <w:tcW w:w="651"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b/>
                      <w:bCs/>
                      <w:sz w:val="21"/>
                      <w:szCs w:val="21"/>
                      <w:u w:val="single"/>
                    </w:rPr>
                    <w:t>5</w:t>
                  </w:r>
                  <w:r>
                    <w:rPr>
                      <w:rFonts w:hint="eastAsia"/>
                      <w:b/>
                      <w:bCs/>
                      <w:sz w:val="21"/>
                      <w:szCs w:val="21"/>
                      <w:u w:val="single"/>
                    </w:rPr>
                    <w:t>°</w:t>
                  </w:r>
                </w:p>
              </w:tc>
              <w:tc>
                <w:tcPr>
                  <w:tcW w:w="426"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240" w:lineRule="auto"/>
                    <w:ind w:firstLine="0" w:firstLineChars="0"/>
                    <w:jc w:val="center"/>
                    <w:textAlignment w:val="center"/>
                    <w:rPr>
                      <w:b/>
                      <w:bCs/>
                      <w:sz w:val="21"/>
                      <w:szCs w:val="21"/>
                      <w:u w:val="single"/>
                    </w:rPr>
                  </w:pPr>
                  <w:r>
                    <w:rPr>
                      <w:rFonts w:hint="eastAsia"/>
                      <w:b/>
                      <w:bCs/>
                      <w:sz w:val="21"/>
                      <w:szCs w:val="21"/>
                      <w:u w:val="single"/>
                    </w:rPr>
                    <w:t>正常</w:t>
                  </w:r>
                </w:p>
              </w:tc>
              <w:tc>
                <w:tcPr>
                  <w:tcW w:w="794" w:type="dxa"/>
                  <w:tcBorders>
                    <w:top w:val="single" w:color="000000" w:sz="4" w:space="0"/>
                    <w:left w:val="single" w:color="000000" w:sz="4" w:space="0"/>
                    <w:bottom w:val="single" w:color="auto" w:sz="4" w:space="0"/>
                    <w:right w:val="single" w:color="000000" w:sz="4" w:space="0"/>
                  </w:tcBorders>
                  <w:vAlign w:val="center"/>
                </w:tcPr>
                <w:p>
                  <w:pPr>
                    <w:kinsoku w:val="0"/>
                    <w:adjustRightInd w:val="0"/>
                    <w:snapToGrid w:val="0"/>
                    <w:spacing w:line="240" w:lineRule="auto"/>
                    <w:ind w:firstLine="0" w:firstLineChars="0"/>
                    <w:jc w:val="center"/>
                    <w:textAlignment w:val="center"/>
                    <w:rPr>
                      <w:b/>
                      <w:sz w:val="21"/>
                      <w:szCs w:val="21"/>
                      <w:u w:val="single"/>
                    </w:rPr>
                  </w:pPr>
                  <w:r>
                    <w:rPr>
                      <w:b/>
                      <w:bCs/>
                      <w:sz w:val="21"/>
                      <w:szCs w:val="21"/>
                      <w:u w:val="single"/>
                    </w:rPr>
                    <w:t>0.01588</w:t>
                  </w:r>
                </w:p>
              </w:tc>
              <w:tc>
                <w:tcPr>
                  <w:tcW w:w="757" w:type="dxa"/>
                  <w:tcBorders>
                    <w:top w:val="single" w:color="000000" w:sz="4" w:space="0"/>
                    <w:left w:val="single" w:color="000000" w:sz="4" w:space="0"/>
                    <w:bottom w:val="single" w:color="auto" w:sz="4" w:space="0"/>
                    <w:right w:val="single" w:color="000000" w:sz="4" w:space="0"/>
                  </w:tcBorders>
                  <w:vAlign w:val="center"/>
                </w:tcPr>
                <w:p>
                  <w:pPr>
                    <w:kinsoku w:val="0"/>
                    <w:adjustRightInd w:val="0"/>
                    <w:snapToGrid w:val="0"/>
                    <w:spacing w:line="240" w:lineRule="auto"/>
                    <w:ind w:firstLine="0" w:firstLineChars="0"/>
                    <w:jc w:val="center"/>
                    <w:textAlignment w:val="center"/>
                    <w:rPr>
                      <w:b/>
                      <w:sz w:val="21"/>
                      <w:szCs w:val="21"/>
                      <w:u w:val="single"/>
                    </w:rPr>
                  </w:pPr>
                  <w:r>
                    <w:rPr>
                      <w:b/>
                      <w:sz w:val="21"/>
                      <w:szCs w:val="21"/>
                      <w:u w:val="single"/>
                    </w:rPr>
                    <w:t>10</w:t>
                  </w:r>
                </w:p>
              </w:tc>
              <w:tc>
                <w:tcPr>
                  <w:tcW w:w="807" w:type="dxa"/>
                  <w:tcBorders>
                    <w:top w:val="single" w:color="000000" w:sz="4" w:space="0"/>
                    <w:left w:val="single" w:color="000000" w:sz="4" w:space="0"/>
                    <w:bottom w:val="single" w:color="auto" w:sz="4" w:space="0"/>
                    <w:right w:val="single" w:color="000000" w:sz="4" w:space="0"/>
                  </w:tcBorders>
                  <w:vAlign w:val="center"/>
                </w:tcPr>
                <w:p>
                  <w:pPr>
                    <w:kinsoku w:val="0"/>
                    <w:adjustRightInd w:val="0"/>
                    <w:snapToGrid w:val="0"/>
                    <w:spacing w:line="240" w:lineRule="auto"/>
                    <w:ind w:firstLine="0" w:firstLineChars="0"/>
                    <w:jc w:val="center"/>
                    <w:textAlignment w:val="center"/>
                    <w:rPr>
                      <w:b/>
                      <w:sz w:val="21"/>
                      <w:szCs w:val="21"/>
                      <w:u w:val="single"/>
                    </w:rPr>
                  </w:pPr>
                  <w:r>
                    <w:rPr>
                      <w:b/>
                      <w:sz w:val="21"/>
                      <w:szCs w:val="21"/>
                      <w:u w:val="single"/>
                    </w:rPr>
                    <w:t>2400</w:t>
                  </w:r>
                </w:p>
              </w:tc>
            </w:tr>
          </w:tbl>
          <w:p>
            <w:pPr>
              <w:adjustRightInd w:val="0"/>
              <w:snapToGrid w:val="0"/>
              <w:ind w:firstLine="482"/>
              <w:rPr>
                <w:b/>
                <w:u w:val="single"/>
              </w:rPr>
            </w:pPr>
            <w:r>
              <w:rPr>
                <w:rFonts w:hint="eastAsia"/>
                <w:b/>
                <w:u w:val="single"/>
              </w:rPr>
              <w:t>②评价因子和评价标准筛选</w:t>
            </w:r>
          </w:p>
          <w:p>
            <w:pPr>
              <w:adjustRightInd w:val="0"/>
              <w:snapToGrid w:val="0"/>
              <w:ind w:firstLine="482"/>
              <w:rPr>
                <w:b/>
                <w:u w:val="single"/>
              </w:rPr>
            </w:pPr>
            <w:r>
              <w:rPr>
                <w:rFonts w:hint="eastAsia"/>
                <w:b/>
                <w:u w:val="single"/>
              </w:rPr>
              <w:t>项目评价因子和评价标准筛选详见表。</w:t>
            </w:r>
          </w:p>
          <w:p>
            <w:pPr>
              <w:pStyle w:val="7"/>
              <w:rPr>
                <w:b/>
                <w:u w:val="single"/>
              </w:rPr>
            </w:pPr>
            <w:r>
              <w:rPr>
                <w:rFonts w:hint="eastAsia"/>
                <w:b/>
                <w:u w:val="single"/>
              </w:rPr>
              <w:t>本项目评价因子和评价标准表</w:t>
            </w:r>
          </w:p>
          <w:tbl>
            <w:tblPr>
              <w:tblStyle w:val="20"/>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1134"/>
              <w:gridCol w:w="1701"/>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kern w:val="44"/>
                      <w:sz w:val="21"/>
                      <w:szCs w:val="21"/>
                      <w:u w:val="single"/>
                    </w:rPr>
                  </w:pPr>
                  <w:r>
                    <w:rPr>
                      <w:rFonts w:hint="eastAsia"/>
                      <w:b/>
                      <w:kern w:val="44"/>
                      <w:sz w:val="21"/>
                      <w:szCs w:val="21"/>
                      <w:u w:val="single"/>
                    </w:rPr>
                    <w:t>评价因子</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kern w:val="44"/>
                      <w:sz w:val="21"/>
                      <w:szCs w:val="21"/>
                      <w:u w:val="single"/>
                    </w:rPr>
                  </w:pPr>
                  <w:r>
                    <w:rPr>
                      <w:rFonts w:hint="eastAsia"/>
                      <w:b/>
                      <w:kern w:val="44"/>
                      <w:sz w:val="21"/>
                      <w:szCs w:val="21"/>
                      <w:u w:val="single"/>
                    </w:rPr>
                    <w:t>平均时段</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kern w:val="44"/>
                      <w:sz w:val="21"/>
                      <w:szCs w:val="21"/>
                      <w:u w:val="single"/>
                    </w:rPr>
                  </w:pPr>
                  <w:r>
                    <w:rPr>
                      <w:rFonts w:hint="eastAsia"/>
                      <w:b/>
                      <w:kern w:val="44"/>
                      <w:sz w:val="21"/>
                      <w:szCs w:val="21"/>
                      <w:u w:val="single"/>
                    </w:rPr>
                    <w:t>标准值</w:t>
                  </w:r>
                  <w:r>
                    <w:rPr>
                      <w:b/>
                      <w:kern w:val="44"/>
                      <w:sz w:val="21"/>
                      <w:szCs w:val="21"/>
                      <w:u w:val="single"/>
                    </w:rPr>
                    <w:t>/</w:t>
                  </w:r>
                  <w:r>
                    <w:rPr>
                      <w:rFonts w:hint="eastAsia"/>
                      <w:b/>
                      <w:kern w:val="44"/>
                      <w:sz w:val="21"/>
                      <w:szCs w:val="21"/>
                      <w:u w:val="single"/>
                    </w:rPr>
                    <w:t>（</w:t>
                  </w:r>
                  <w:r>
                    <w:rPr>
                      <w:b/>
                      <w:kern w:val="44"/>
                      <w:sz w:val="21"/>
                      <w:szCs w:val="21"/>
                      <w:u w:val="single"/>
                    </w:rPr>
                    <w:t>μg/m</w:t>
                  </w:r>
                  <w:r>
                    <w:rPr>
                      <w:b/>
                      <w:kern w:val="44"/>
                      <w:sz w:val="21"/>
                      <w:szCs w:val="21"/>
                      <w:u w:val="single"/>
                      <w:vertAlign w:val="superscript"/>
                    </w:rPr>
                    <w:t>3</w:t>
                  </w:r>
                  <w:r>
                    <w:rPr>
                      <w:rFonts w:hint="eastAsia"/>
                      <w:b/>
                      <w:kern w:val="44"/>
                      <w:sz w:val="21"/>
                      <w:szCs w:val="21"/>
                      <w:u w:val="single"/>
                    </w:rPr>
                    <w:t>）</w:t>
                  </w:r>
                </w:p>
              </w:tc>
              <w:tc>
                <w:tcPr>
                  <w:tcW w:w="474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kern w:val="44"/>
                      <w:sz w:val="21"/>
                      <w:szCs w:val="21"/>
                      <w:u w:val="single"/>
                    </w:rPr>
                  </w:pPr>
                  <w:r>
                    <w:rPr>
                      <w:rFonts w:hint="eastAsia"/>
                      <w:b/>
                      <w:kern w:val="44"/>
                      <w:sz w:val="21"/>
                      <w:szCs w:val="21"/>
                      <w:u w:val="singl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kern w:val="44"/>
                      <w:sz w:val="21"/>
                      <w:szCs w:val="21"/>
                      <w:u w:val="single"/>
                    </w:rPr>
                  </w:pPr>
                  <w:r>
                    <w:rPr>
                      <w:rFonts w:hint="eastAsia"/>
                      <w:b/>
                      <w:kern w:val="44"/>
                      <w:sz w:val="21"/>
                      <w:szCs w:val="21"/>
                      <w:u w:val="single"/>
                    </w:rPr>
                    <w:t>颗粒物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b/>
                      <w:sz w:val="21"/>
                      <w:szCs w:val="21"/>
                      <w:u w:val="single"/>
                    </w:rPr>
                  </w:pPr>
                  <w:r>
                    <w:rPr>
                      <w:b/>
                      <w:sz w:val="21"/>
                      <w:szCs w:val="21"/>
                      <w:u w:val="single"/>
                    </w:rPr>
                    <w:t>1</w:t>
                  </w:r>
                  <w:r>
                    <w:rPr>
                      <w:rFonts w:hint="eastAsia"/>
                      <w:b/>
                      <w:sz w:val="21"/>
                      <w:szCs w:val="21"/>
                      <w:u w:val="single"/>
                    </w:rPr>
                    <w:t>h</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b/>
                      <w:sz w:val="21"/>
                      <w:szCs w:val="21"/>
                      <w:u w:val="single"/>
                    </w:rPr>
                  </w:pPr>
                  <w:r>
                    <w:rPr>
                      <w:b/>
                      <w:sz w:val="21"/>
                      <w:szCs w:val="21"/>
                      <w:u w:val="single"/>
                    </w:rPr>
                    <w:t>900</w:t>
                  </w:r>
                </w:p>
              </w:tc>
              <w:tc>
                <w:tcPr>
                  <w:tcW w:w="474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kern w:val="44"/>
                      <w:sz w:val="21"/>
                      <w:szCs w:val="21"/>
                      <w:u w:val="single"/>
                    </w:rPr>
                  </w:pPr>
                  <w:r>
                    <w:rPr>
                      <w:rFonts w:hint="eastAsia"/>
                      <w:b/>
                      <w:sz w:val="21"/>
                      <w:szCs w:val="21"/>
                      <w:u w:val="single"/>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2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b/>
                      <w:sz w:val="21"/>
                      <w:szCs w:val="21"/>
                      <w:u w:val="single"/>
                    </w:rPr>
                  </w:pPr>
                  <w:r>
                    <w:rPr>
                      <w:rFonts w:hint="eastAsia"/>
                      <w:b/>
                      <w:sz w:val="21"/>
                      <w:szCs w:val="21"/>
                      <w:u w:val="single"/>
                    </w:rPr>
                    <w:t>注：由于TSP无小时浓度限值，根据导则可取日均浓度限值的三倍值，即TSP环境标准限值一次值为0.9mg/Nm</w:t>
                  </w:r>
                  <w:r>
                    <w:rPr>
                      <w:rFonts w:hint="eastAsia"/>
                      <w:b/>
                      <w:sz w:val="21"/>
                      <w:szCs w:val="21"/>
                      <w:u w:val="single"/>
                      <w:vertAlign w:val="superscript"/>
                    </w:rPr>
                    <w:t>3</w:t>
                  </w:r>
                  <w:r>
                    <w:rPr>
                      <w:rFonts w:hint="eastAsia"/>
                      <w:b/>
                      <w:sz w:val="21"/>
                      <w:szCs w:val="21"/>
                      <w:u w:val="single"/>
                    </w:rPr>
                    <w:t>。</w:t>
                  </w:r>
                </w:p>
              </w:tc>
            </w:tr>
          </w:tbl>
          <w:p>
            <w:pPr>
              <w:snapToGrid w:val="0"/>
              <w:spacing w:line="500" w:lineRule="exact"/>
              <w:ind w:firstLine="482"/>
              <w:rPr>
                <w:b/>
                <w:snapToGrid w:val="0"/>
                <w:u w:val="single"/>
              </w:rPr>
            </w:pPr>
            <w:r>
              <w:rPr>
                <w:rFonts w:hint="eastAsia"/>
                <w:b/>
                <w:snapToGrid w:val="0"/>
                <w:u w:val="single"/>
              </w:rPr>
              <w:t>③估算模型参数</w:t>
            </w:r>
          </w:p>
          <w:p>
            <w:pPr>
              <w:snapToGrid w:val="0"/>
              <w:spacing w:line="500" w:lineRule="exact"/>
              <w:ind w:firstLine="482"/>
              <w:rPr>
                <w:b/>
                <w:snapToGrid w:val="0"/>
                <w:u w:val="single"/>
              </w:rPr>
            </w:pPr>
            <w:r>
              <w:rPr>
                <w:rFonts w:hint="eastAsia"/>
                <w:b/>
                <w:snapToGrid w:val="0"/>
                <w:u w:val="single"/>
              </w:rPr>
              <w:t>项目选用</w:t>
            </w:r>
            <w:r>
              <w:rPr>
                <w:b/>
                <w:snapToGrid w:val="0"/>
                <w:u w:val="single"/>
              </w:rPr>
              <w:t>AERSCREEN</w:t>
            </w:r>
            <w:r>
              <w:rPr>
                <w:rFonts w:hint="eastAsia"/>
                <w:b/>
                <w:snapToGrid w:val="0"/>
                <w:u w:val="single"/>
              </w:rPr>
              <w:t>模型，估算模型参数详见下表。</w:t>
            </w:r>
          </w:p>
          <w:p>
            <w:pPr>
              <w:pStyle w:val="7"/>
              <w:rPr>
                <w:b/>
                <w:u w:val="single"/>
              </w:rPr>
            </w:pPr>
            <w:r>
              <w:rPr>
                <w:rFonts w:hint="eastAsia"/>
                <w:b/>
                <w:u w:val="single"/>
              </w:rPr>
              <w:t>估算模型参数表</w:t>
            </w:r>
          </w:p>
          <w:tbl>
            <w:tblPr>
              <w:tblStyle w:val="20"/>
              <w:tblW w:w="873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682"/>
              <w:gridCol w:w="4605"/>
              <w:gridCol w:w="244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287" w:type="dxa"/>
                  <w:gridSpan w:val="2"/>
                  <w:tcBorders>
                    <w:top w:val="single" w:color="000000" w:sz="12" w:space="0"/>
                    <w:left w:val="single" w:color="auto" w:sz="2"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参数</w:t>
                  </w:r>
                </w:p>
              </w:tc>
              <w:tc>
                <w:tcPr>
                  <w:tcW w:w="2443" w:type="dxa"/>
                  <w:tcBorders>
                    <w:top w:val="single" w:color="000000" w:sz="12"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取值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168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城市</w:t>
                  </w:r>
                  <w:r>
                    <w:rPr>
                      <w:b/>
                      <w:kern w:val="0"/>
                      <w:sz w:val="21"/>
                      <w:szCs w:val="21"/>
                      <w:u w:val="single"/>
                    </w:rPr>
                    <w:t>/</w:t>
                  </w:r>
                  <w:r>
                    <w:rPr>
                      <w:rFonts w:hint="eastAsia"/>
                      <w:b/>
                      <w:kern w:val="0"/>
                      <w:sz w:val="21"/>
                      <w:szCs w:val="21"/>
                      <w:u w:val="single"/>
                    </w:rPr>
                    <w:t>农村选项</w:t>
                  </w:r>
                </w:p>
              </w:tc>
              <w:tc>
                <w:tcPr>
                  <w:tcW w:w="4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城市</w:t>
                  </w:r>
                  <w:r>
                    <w:rPr>
                      <w:b/>
                      <w:kern w:val="0"/>
                      <w:sz w:val="21"/>
                      <w:szCs w:val="21"/>
                      <w:u w:val="single"/>
                    </w:rPr>
                    <w:t>/</w:t>
                  </w:r>
                  <w:r>
                    <w:rPr>
                      <w:rFonts w:hint="eastAsia"/>
                      <w:b/>
                      <w:kern w:val="0"/>
                      <w:sz w:val="21"/>
                      <w:szCs w:val="21"/>
                      <w:u w:val="single"/>
                    </w:rPr>
                    <w:t>农村</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农村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b/>
                      <w:kern w:val="0"/>
                      <w:sz w:val="21"/>
                      <w:szCs w:val="21"/>
                      <w:u w:val="single"/>
                    </w:rPr>
                  </w:pPr>
                </w:p>
              </w:tc>
              <w:tc>
                <w:tcPr>
                  <w:tcW w:w="4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人口数（城市选项时）</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628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最高环境温度</w:t>
                  </w:r>
                  <w:r>
                    <w:rPr>
                      <w:b/>
                      <w:kern w:val="0"/>
                      <w:sz w:val="21"/>
                      <w:szCs w:val="21"/>
                      <w:u w:val="single"/>
                    </w:rPr>
                    <w:t>/℃</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49.0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628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最低环境温度</w:t>
                  </w:r>
                  <w:r>
                    <w:rPr>
                      <w:b/>
                      <w:kern w:val="0"/>
                      <w:sz w:val="21"/>
                      <w:szCs w:val="21"/>
                      <w:u w:val="single"/>
                    </w:rPr>
                    <w:t>/℃</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-23.0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28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土地利用类型</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农作地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628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区域湿度条件</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中等湿润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168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是否考虑地形</w:t>
                  </w:r>
                </w:p>
              </w:tc>
              <w:tc>
                <w:tcPr>
                  <w:tcW w:w="4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考虑地形</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sym w:font="Wingdings 2" w:char="F0A3"/>
                  </w:r>
                  <w:r>
                    <w:rPr>
                      <w:rFonts w:hint="eastAsia"/>
                      <w:b/>
                      <w:kern w:val="0"/>
                      <w:sz w:val="21"/>
                      <w:szCs w:val="21"/>
                      <w:u w:val="single"/>
                    </w:rPr>
                    <w:t>是</w:t>
                  </w:r>
                  <w:r>
                    <w:rPr>
                      <w:b/>
                      <w:kern w:val="0"/>
                      <w:sz w:val="21"/>
                      <w:szCs w:val="21"/>
                      <w:u w:val="single"/>
                    </w:rPr>
                    <w:t xml:space="preserve"> </w:t>
                  </w:r>
                  <w:r>
                    <w:rPr>
                      <w:b/>
                      <w:kern w:val="0"/>
                      <w:sz w:val="21"/>
                      <w:szCs w:val="21"/>
                      <w:u w:val="single"/>
                    </w:rPr>
                    <w:sym w:font="Wingdings 2" w:char="F052"/>
                  </w:r>
                  <w:r>
                    <w:rPr>
                      <w:rFonts w:hint="eastAsia"/>
                      <w:b/>
                      <w:kern w:val="0"/>
                      <w:sz w:val="21"/>
                      <w:szCs w:val="21"/>
                      <w:u w:val="single"/>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b/>
                      <w:kern w:val="0"/>
                      <w:sz w:val="21"/>
                      <w:szCs w:val="21"/>
                      <w:u w:val="single"/>
                    </w:rPr>
                  </w:pPr>
                </w:p>
              </w:tc>
              <w:tc>
                <w:tcPr>
                  <w:tcW w:w="4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地形数据分辨率</w:t>
                  </w:r>
                  <w:r>
                    <w:rPr>
                      <w:b/>
                      <w:kern w:val="0"/>
                      <w:sz w:val="21"/>
                      <w:szCs w:val="21"/>
                      <w:u w:val="single"/>
                    </w:rPr>
                    <w:t>/m</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4" w:hRule="atLeast"/>
                <w:jc w:val="center"/>
              </w:trPr>
              <w:tc>
                <w:tcPr>
                  <w:tcW w:w="1682" w:type="dxa"/>
                  <w:vMerge w:val="restart"/>
                  <w:tcBorders>
                    <w:top w:val="single" w:color="000000" w:sz="4" w:space="0"/>
                    <w:left w:val="single" w:color="000000" w:sz="4" w:space="0"/>
                    <w:bottom w:val="single" w:color="000000" w:sz="12"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是否考虑岸线熏烟</w:t>
                  </w:r>
                </w:p>
              </w:tc>
              <w:tc>
                <w:tcPr>
                  <w:tcW w:w="4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考虑岸线熏烟</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w:t>
                  </w:r>
                  <w:r>
                    <w:rPr>
                      <w:rFonts w:hint="eastAsia"/>
                      <w:b/>
                      <w:kern w:val="0"/>
                      <w:sz w:val="21"/>
                      <w:szCs w:val="21"/>
                      <w:u w:val="single"/>
                    </w:rPr>
                    <w:t>是</w:t>
                  </w:r>
                  <w:r>
                    <w:rPr>
                      <w:b/>
                      <w:kern w:val="0"/>
                      <w:sz w:val="21"/>
                      <w:szCs w:val="21"/>
                      <w:u w:val="single"/>
                    </w:rPr>
                    <w:t xml:space="preserve"> </w:t>
                  </w:r>
                  <w:r>
                    <w:rPr>
                      <w:b/>
                      <w:kern w:val="0"/>
                      <w:sz w:val="21"/>
                      <w:szCs w:val="21"/>
                      <w:u w:val="single"/>
                    </w:rPr>
                    <w:sym w:font="Wingdings 2" w:char="F052"/>
                  </w:r>
                  <w:r>
                    <w:rPr>
                      <w:rFonts w:hint="eastAsia"/>
                      <w:b/>
                      <w:kern w:val="0"/>
                      <w:sz w:val="21"/>
                      <w:szCs w:val="21"/>
                      <w:u w:val="single"/>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widowControl/>
                    <w:spacing w:line="240" w:lineRule="auto"/>
                    <w:ind w:firstLine="0" w:firstLineChars="0"/>
                    <w:rPr>
                      <w:b/>
                      <w:kern w:val="0"/>
                      <w:sz w:val="21"/>
                      <w:szCs w:val="21"/>
                      <w:u w:val="single"/>
                    </w:rPr>
                  </w:pPr>
                </w:p>
              </w:tc>
              <w:tc>
                <w:tcPr>
                  <w:tcW w:w="4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岸线距离</w:t>
                  </w:r>
                  <w:r>
                    <w:rPr>
                      <w:b/>
                      <w:kern w:val="0"/>
                      <w:sz w:val="21"/>
                      <w:szCs w:val="21"/>
                      <w:u w:val="single"/>
                    </w:rPr>
                    <w:t>/km</w:t>
                  </w:r>
                </w:p>
              </w:tc>
              <w:tc>
                <w:tcPr>
                  <w:tcW w:w="2443" w:type="dxa"/>
                  <w:tcBorders>
                    <w:top w:val="single" w:color="000000" w:sz="4" w:space="0"/>
                    <w:left w:val="single" w:color="000000" w:sz="4" w:space="0"/>
                    <w:bottom w:val="single" w:color="000000" w:sz="4"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widowControl/>
                    <w:spacing w:line="240" w:lineRule="auto"/>
                    <w:ind w:firstLine="0" w:firstLineChars="0"/>
                    <w:rPr>
                      <w:b/>
                      <w:kern w:val="0"/>
                      <w:sz w:val="21"/>
                      <w:szCs w:val="21"/>
                      <w:u w:val="single"/>
                    </w:rPr>
                  </w:pPr>
                </w:p>
              </w:tc>
              <w:tc>
                <w:tcPr>
                  <w:tcW w:w="4605" w:type="dxa"/>
                  <w:tcBorders>
                    <w:top w:val="single" w:color="000000" w:sz="4" w:space="0"/>
                    <w:left w:val="single" w:color="000000" w:sz="4" w:space="0"/>
                    <w:bottom w:val="single" w:color="000000" w:sz="12" w:space="0"/>
                    <w:right w:val="single" w:color="000000" w:sz="4" w:space="0"/>
                  </w:tcBorders>
                  <w:vAlign w:val="center"/>
                </w:tcPr>
                <w:p>
                  <w:pPr>
                    <w:spacing w:line="360" w:lineRule="exact"/>
                    <w:ind w:firstLine="0" w:firstLineChars="0"/>
                    <w:jc w:val="center"/>
                    <w:rPr>
                      <w:b/>
                      <w:kern w:val="0"/>
                      <w:sz w:val="21"/>
                      <w:szCs w:val="21"/>
                      <w:u w:val="single"/>
                    </w:rPr>
                  </w:pPr>
                  <w:r>
                    <w:rPr>
                      <w:rFonts w:hint="eastAsia"/>
                      <w:b/>
                      <w:kern w:val="0"/>
                      <w:sz w:val="21"/>
                      <w:szCs w:val="21"/>
                      <w:u w:val="single"/>
                    </w:rPr>
                    <w:t>岸线方向</w:t>
                  </w:r>
                  <w:r>
                    <w:rPr>
                      <w:b/>
                      <w:kern w:val="0"/>
                      <w:sz w:val="21"/>
                      <w:szCs w:val="21"/>
                      <w:u w:val="single"/>
                    </w:rPr>
                    <w:t>/°</w:t>
                  </w:r>
                </w:p>
              </w:tc>
              <w:tc>
                <w:tcPr>
                  <w:tcW w:w="2443" w:type="dxa"/>
                  <w:tcBorders>
                    <w:top w:val="single" w:color="000000" w:sz="4" w:space="0"/>
                    <w:left w:val="single" w:color="000000" w:sz="4" w:space="0"/>
                    <w:bottom w:val="single" w:color="000000" w:sz="12" w:space="0"/>
                    <w:right w:val="single" w:color="000000" w:sz="12" w:space="0"/>
                  </w:tcBorders>
                  <w:vAlign w:val="center"/>
                </w:tcPr>
                <w:p>
                  <w:pPr>
                    <w:spacing w:line="360" w:lineRule="exact"/>
                    <w:ind w:firstLine="0" w:firstLineChars="0"/>
                    <w:jc w:val="center"/>
                    <w:rPr>
                      <w:b/>
                      <w:kern w:val="0"/>
                      <w:sz w:val="21"/>
                      <w:szCs w:val="21"/>
                      <w:u w:val="single"/>
                    </w:rPr>
                  </w:pPr>
                  <w:r>
                    <w:rPr>
                      <w:b/>
                      <w:kern w:val="0"/>
                      <w:sz w:val="21"/>
                      <w:szCs w:val="21"/>
                      <w:u w:val="single"/>
                    </w:rPr>
                    <w:t>/</w:t>
                  </w:r>
                </w:p>
              </w:tc>
            </w:tr>
          </w:tbl>
          <w:p>
            <w:pPr>
              <w:adjustRightInd w:val="0"/>
              <w:snapToGrid w:val="0"/>
              <w:ind w:firstLine="482"/>
              <w:rPr>
                <w:b/>
                <w:snapToGrid w:val="0"/>
                <w:u w:val="single"/>
              </w:rPr>
            </w:pPr>
            <w:r>
              <w:rPr>
                <w:rFonts w:hint="eastAsia"/>
                <w:b/>
                <w:snapToGrid w:val="0"/>
                <w:u w:val="single"/>
              </w:rPr>
              <w:t>④主要污染源估算模型计算结果</w:t>
            </w:r>
          </w:p>
          <w:p>
            <w:pPr>
              <w:adjustRightInd w:val="0"/>
              <w:snapToGrid w:val="0"/>
              <w:ind w:firstLine="482"/>
              <w:rPr>
                <w:b/>
                <w:u w:val="single"/>
              </w:rPr>
            </w:pPr>
            <w:r>
              <w:rPr>
                <w:rFonts w:hint="eastAsia"/>
                <w:b/>
                <w:snapToGrid w:val="0"/>
                <w:u w:val="single"/>
              </w:rPr>
              <w:t>本项目采用《环境影响评价技术导则大气环境》（</w:t>
            </w:r>
            <w:r>
              <w:rPr>
                <w:b/>
                <w:snapToGrid w:val="0"/>
                <w:u w:val="single"/>
              </w:rPr>
              <w:t>HJ/2.2-2018</w:t>
            </w:r>
            <w:r>
              <w:rPr>
                <w:rFonts w:hint="eastAsia"/>
                <w:b/>
                <w:snapToGrid w:val="0"/>
                <w:u w:val="single"/>
              </w:rPr>
              <w:t>）中推荐的估算模型</w:t>
            </w:r>
            <w:r>
              <w:rPr>
                <w:b/>
                <w:snapToGrid w:val="0"/>
                <w:u w:val="single"/>
              </w:rPr>
              <w:t>AERSCREEN</w:t>
            </w:r>
            <w:r>
              <w:rPr>
                <w:rFonts w:hint="eastAsia"/>
                <w:b/>
                <w:snapToGrid w:val="0"/>
                <w:u w:val="single"/>
              </w:rPr>
              <w:t>预测本项目废气排放对周围大气环境的影响，预测结果见表。</w:t>
            </w:r>
          </w:p>
          <w:p>
            <w:pPr>
              <w:pStyle w:val="7"/>
              <w:rPr>
                <w:b/>
                <w:u w:val="single"/>
              </w:rPr>
            </w:pPr>
            <w:r>
              <w:rPr>
                <w:b/>
                <w:u w:val="single"/>
                <w:lang w:val="zh-CN"/>
              </w:rPr>
              <w:t>AERSCREEN</w:t>
            </w:r>
            <w:r>
              <w:rPr>
                <w:rFonts w:hint="eastAsia"/>
                <w:b/>
                <w:u w:val="single"/>
                <w:lang w:val="zh-CN"/>
              </w:rPr>
              <w:t>估算模型计算结果一览表</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133"/>
              <w:gridCol w:w="1275"/>
              <w:gridCol w:w="2126"/>
              <w:gridCol w:w="1244"/>
              <w:gridCol w:w="882"/>
              <w:gridCol w:w="13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tcBorders>
                    <w:top w:val="single" w:color="auto" w:sz="12" w:space="0"/>
                    <w:left w:val="single" w:color="auto" w:sz="12"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排放方式</w:t>
                  </w:r>
                </w:p>
              </w:tc>
              <w:tc>
                <w:tcPr>
                  <w:tcW w:w="651" w:type="pct"/>
                  <w:tcBorders>
                    <w:top w:val="single" w:color="auto" w:sz="12"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污染源</w:t>
                  </w:r>
                </w:p>
              </w:tc>
              <w:tc>
                <w:tcPr>
                  <w:tcW w:w="733" w:type="pct"/>
                  <w:tcBorders>
                    <w:top w:val="single" w:color="auto" w:sz="12"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污染物</w:t>
                  </w:r>
                </w:p>
              </w:tc>
              <w:tc>
                <w:tcPr>
                  <w:tcW w:w="1222" w:type="pct"/>
                  <w:tcBorders>
                    <w:top w:val="single" w:color="auto" w:sz="12"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下风向最大质量浓度</w:t>
                  </w:r>
                  <w:r>
                    <w:rPr>
                      <w:b/>
                      <w:sz w:val="21"/>
                      <w:szCs w:val="21"/>
                      <w:u w:val="single"/>
                    </w:rPr>
                    <w:t>Ci</w:t>
                  </w:r>
                  <w:r>
                    <w:rPr>
                      <w:rFonts w:hint="eastAsia"/>
                      <w:b/>
                      <w:sz w:val="21"/>
                      <w:szCs w:val="21"/>
                      <w:u w:val="single"/>
                    </w:rPr>
                    <w:t>（</w:t>
                  </w:r>
                  <w:r>
                    <w:rPr>
                      <w:b/>
                      <w:sz w:val="21"/>
                      <w:szCs w:val="21"/>
                      <w:u w:val="single"/>
                    </w:rPr>
                    <w:t>μg/m</w:t>
                  </w:r>
                  <w:r>
                    <w:rPr>
                      <w:b/>
                      <w:sz w:val="21"/>
                      <w:szCs w:val="21"/>
                      <w:u w:val="single"/>
                      <w:vertAlign w:val="superscript"/>
                    </w:rPr>
                    <w:t>3</w:t>
                  </w:r>
                  <w:r>
                    <w:rPr>
                      <w:rFonts w:hint="eastAsia"/>
                      <w:b/>
                      <w:sz w:val="21"/>
                      <w:szCs w:val="21"/>
                      <w:u w:val="single"/>
                    </w:rPr>
                    <w:t>）</w:t>
                  </w:r>
                </w:p>
              </w:tc>
              <w:tc>
                <w:tcPr>
                  <w:tcW w:w="715" w:type="pct"/>
                  <w:tcBorders>
                    <w:top w:val="single" w:color="auto" w:sz="12"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占标率</w:t>
                  </w:r>
                  <w:r>
                    <w:rPr>
                      <w:b/>
                      <w:sz w:val="21"/>
                      <w:szCs w:val="21"/>
                      <w:u w:val="single"/>
                    </w:rPr>
                    <w:t>Pi</w:t>
                  </w:r>
                  <w:r>
                    <w:rPr>
                      <w:rFonts w:hint="eastAsia"/>
                      <w:b/>
                      <w:sz w:val="21"/>
                      <w:szCs w:val="21"/>
                      <w:u w:val="single"/>
                    </w:rPr>
                    <w:t>（</w:t>
                  </w:r>
                  <w:r>
                    <w:rPr>
                      <w:b/>
                      <w:sz w:val="21"/>
                      <w:szCs w:val="21"/>
                      <w:u w:val="single"/>
                    </w:rPr>
                    <w:t>%</w:t>
                  </w:r>
                  <w:r>
                    <w:rPr>
                      <w:rFonts w:hint="eastAsia"/>
                      <w:b/>
                      <w:sz w:val="21"/>
                      <w:szCs w:val="21"/>
                      <w:u w:val="single"/>
                    </w:rPr>
                    <w:t>）</w:t>
                  </w:r>
                </w:p>
              </w:tc>
              <w:tc>
                <w:tcPr>
                  <w:tcW w:w="507" w:type="pct"/>
                  <w:tcBorders>
                    <w:top w:val="single" w:color="auto" w:sz="12"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出现距离（</w:t>
                  </w:r>
                  <w:r>
                    <w:rPr>
                      <w:b/>
                      <w:sz w:val="21"/>
                      <w:szCs w:val="21"/>
                      <w:u w:val="single"/>
                    </w:rPr>
                    <w:t>m</w:t>
                  </w:r>
                  <w:r>
                    <w:rPr>
                      <w:rFonts w:hint="eastAsia"/>
                      <w:b/>
                      <w:sz w:val="21"/>
                      <w:szCs w:val="21"/>
                      <w:u w:val="single"/>
                    </w:rPr>
                    <w:t>）</w:t>
                  </w:r>
                </w:p>
              </w:tc>
              <w:tc>
                <w:tcPr>
                  <w:tcW w:w="766" w:type="pct"/>
                  <w:tcBorders>
                    <w:top w:val="single" w:color="auto" w:sz="12" w:space="0"/>
                    <w:left w:val="single" w:color="auto" w:sz="4" w:space="0"/>
                    <w:bottom w:val="single" w:color="auto" w:sz="4" w:space="0"/>
                    <w:right w:val="single" w:color="auto" w:sz="12"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标准值</w:t>
                  </w:r>
                  <w:r>
                    <w:rPr>
                      <w:b/>
                      <w:sz w:val="21"/>
                      <w:szCs w:val="21"/>
                      <w:u w:val="single"/>
                    </w:rPr>
                    <w:t>Coi*</w:t>
                  </w:r>
                  <w:r>
                    <w:rPr>
                      <w:rFonts w:hint="eastAsia"/>
                      <w:b/>
                      <w:sz w:val="21"/>
                      <w:szCs w:val="21"/>
                      <w:u w:val="single"/>
                    </w:rPr>
                    <w:t>（μ</w:t>
                  </w:r>
                  <w:r>
                    <w:rPr>
                      <w:b/>
                      <w:sz w:val="21"/>
                      <w:szCs w:val="21"/>
                      <w:u w:val="single"/>
                    </w:rPr>
                    <w:t>g/m</w:t>
                  </w:r>
                  <w:r>
                    <w:rPr>
                      <w:b/>
                      <w:sz w:val="21"/>
                      <w:szCs w:val="21"/>
                      <w:u w:val="single"/>
                      <w:vertAlign w:val="superscript"/>
                    </w:rPr>
                    <w:t>3</w:t>
                  </w:r>
                  <w:r>
                    <w:rPr>
                      <w:rFonts w:hint="eastAsia"/>
                      <w:b/>
                      <w:sz w:val="21"/>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vMerge w:val="restart"/>
                  <w:tcBorders>
                    <w:top w:val="single" w:color="auto" w:sz="4" w:space="0"/>
                    <w:left w:val="single" w:color="auto" w:sz="12"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点源</w:t>
                  </w:r>
                </w:p>
              </w:tc>
              <w:tc>
                <w:tcPr>
                  <w:tcW w:w="65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b/>
                      <w:sz w:val="21"/>
                      <w:szCs w:val="21"/>
                      <w:u w:val="single"/>
                    </w:rPr>
                    <w:t>1#</w:t>
                  </w:r>
                  <w:r>
                    <w:rPr>
                      <w:rFonts w:hint="eastAsia"/>
                      <w:b/>
                      <w:sz w:val="21"/>
                      <w:szCs w:val="21"/>
                      <w:u w:val="single"/>
                    </w:rPr>
                    <w:t>排气筒</w:t>
                  </w:r>
                </w:p>
              </w:tc>
              <w:tc>
                <w:tcPr>
                  <w:tcW w:w="7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颗粒物</w:t>
                  </w:r>
                </w:p>
              </w:tc>
              <w:tc>
                <w:tcPr>
                  <w:tcW w:w="1222"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0</w:t>
                  </w:r>
                  <w:r>
                    <w:rPr>
                      <w:b/>
                      <w:sz w:val="21"/>
                      <w:szCs w:val="21"/>
                      <w:u w:val="single"/>
                    </w:rPr>
                    <w:t>.3581</w:t>
                  </w:r>
                </w:p>
              </w:tc>
              <w:tc>
                <w:tcPr>
                  <w:tcW w:w="715"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0</w:t>
                  </w:r>
                  <w:r>
                    <w:rPr>
                      <w:b/>
                      <w:sz w:val="21"/>
                      <w:szCs w:val="21"/>
                      <w:u w:val="single"/>
                    </w:rPr>
                    <w:t>.20</w:t>
                  </w:r>
                </w:p>
              </w:tc>
              <w:tc>
                <w:tcPr>
                  <w:tcW w:w="507"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4</w:t>
                  </w:r>
                  <w:r>
                    <w:rPr>
                      <w:b/>
                      <w:sz w:val="21"/>
                      <w:szCs w:val="21"/>
                      <w:u w:val="single"/>
                    </w:rPr>
                    <w:t>1</w:t>
                  </w:r>
                </w:p>
              </w:tc>
              <w:tc>
                <w:tcPr>
                  <w:tcW w:w="766" w:type="pct"/>
                  <w:tcBorders>
                    <w:top w:val="single" w:color="auto" w:sz="4" w:space="0"/>
                    <w:left w:val="single" w:color="auto" w:sz="4" w:space="0"/>
                    <w:bottom w:val="single" w:color="auto" w:sz="4" w:space="0"/>
                    <w:right w:val="single" w:color="auto" w:sz="12"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9</w:t>
                  </w:r>
                  <w:r>
                    <w:rPr>
                      <w:b/>
                      <w:sz w:val="21"/>
                      <w:szCs w:val="21"/>
                      <w:u w:val="singl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vMerge w:val="continue"/>
                  <w:tcBorders>
                    <w:left w:val="single" w:color="auto" w:sz="12" w:space="0"/>
                    <w:right w:val="single" w:color="auto" w:sz="4" w:space="0"/>
                  </w:tcBorders>
                  <w:vAlign w:val="center"/>
                </w:tcPr>
                <w:p>
                  <w:pPr>
                    <w:widowControl/>
                    <w:spacing w:line="360" w:lineRule="exact"/>
                    <w:ind w:firstLine="0" w:firstLineChars="0"/>
                    <w:jc w:val="center"/>
                    <w:textAlignment w:val="center"/>
                    <w:rPr>
                      <w:b/>
                      <w:sz w:val="21"/>
                      <w:szCs w:val="21"/>
                      <w:u w:val="single"/>
                    </w:rPr>
                  </w:pPr>
                </w:p>
              </w:tc>
              <w:tc>
                <w:tcPr>
                  <w:tcW w:w="65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b/>
                      <w:sz w:val="21"/>
                      <w:szCs w:val="21"/>
                      <w:u w:val="single"/>
                    </w:rPr>
                    <w:t>2#</w:t>
                  </w:r>
                  <w:r>
                    <w:rPr>
                      <w:rFonts w:hint="eastAsia"/>
                      <w:b/>
                      <w:sz w:val="21"/>
                      <w:szCs w:val="21"/>
                      <w:u w:val="single"/>
                    </w:rPr>
                    <w:t>排气筒</w:t>
                  </w:r>
                </w:p>
              </w:tc>
              <w:tc>
                <w:tcPr>
                  <w:tcW w:w="7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颗粒物</w:t>
                  </w:r>
                </w:p>
              </w:tc>
              <w:tc>
                <w:tcPr>
                  <w:tcW w:w="1222"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b/>
                      <w:sz w:val="21"/>
                      <w:szCs w:val="21"/>
                      <w:u w:val="single"/>
                    </w:rPr>
                    <w:t>0.586</w:t>
                  </w:r>
                </w:p>
              </w:tc>
              <w:tc>
                <w:tcPr>
                  <w:tcW w:w="715"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0</w:t>
                  </w:r>
                  <w:r>
                    <w:rPr>
                      <w:b/>
                      <w:sz w:val="21"/>
                      <w:szCs w:val="21"/>
                      <w:u w:val="single"/>
                    </w:rPr>
                    <w:t>.56</w:t>
                  </w:r>
                </w:p>
              </w:tc>
              <w:tc>
                <w:tcPr>
                  <w:tcW w:w="507"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b/>
                      <w:sz w:val="21"/>
                      <w:szCs w:val="21"/>
                      <w:u w:val="single"/>
                    </w:rPr>
                    <w:t>46</w:t>
                  </w:r>
                </w:p>
              </w:tc>
              <w:tc>
                <w:tcPr>
                  <w:tcW w:w="766" w:type="pct"/>
                  <w:tcBorders>
                    <w:top w:val="single" w:color="auto" w:sz="4" w:space="0"/>
                    <w:left w:val="single" w:color="auto" w:sz="4" w:space="0"/>
                    <w:bottom w:val="single" w:color="auto" w:sz="4" w:space="0"/>
                    <w:right w:val="single" w:color="auto" w:sz="12"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9</w:t>
                  </w:r>
                  <w:r>
                    <w:rPr>
                      <w:b/>
                      <w:sz w:val="21"/>
                      <w:szCs w:val="21"/>
                      <w:u w:val="singl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vMerge w:val="continue"/>
                  <w:tcBorders>
                    <w:left w:val="single" w:color="auto" w:sz="12"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p>
              </w:tc>
              <w:tc>
                <w:tcPr>
                  <w:tcW w:w="65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b/>
                      <w:sz w:val="21"/>
                      <w:szCs w:val="21"/>
                      <w:u w:val="single"/>
                    </w:rPr>
                    <w:t>3#</w:t>
                  </w:r>
                  <w:r>
                    <w:rPr>
                      <w:rFonts w:hint="eastAsia"/>
                      <w:b/>
                      <w:sz w:val="21"/>
                      <w:szCs w:val="21"/>
                      <w:u w:val="single"/>
                    </w:rPr>
                    <w:t>排气筒</w:t>
                  </w:r>
                </w:p>
              </w:tc>
              <w:tc>
                <w:tcPr>
                  <w:tcW w:w="7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颗粒物</w:t>
                  </w:r>
                </w:p>
              </w:tc>
              <w:tc>
                <w:tcPr>
                  <w:tcW w:w="1222"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3</w:t>
                  </w:r>
                  <w:r>
                    <w:rPr>
                      <w:b/>
                      <w:sz w:val="21"/>
                      <w:szCs w:val="21"/>
                      <w:u w:val="single"/>
                    </w:rPr>
                    <w:t>.2578</w:t>
                  </w:r>
                </w:p>
              </w:tc>
              <w:tc>
                <w:tcPr>
                  <w:tcW w:w="715"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0</w:t>
                  </w:r>
                  <w:r>
                    <w:rPr>
                      <w:b/>
                      <w:sz w:val="21"/>
                      <w:szCs w:val="21"/>
                      <w:u w:val="single"/>
                    </w:rPr>
                    <w:t>.72</w:t>
                  </w:r>
                </w:p>
              </w:tc>
              <w:tc>
                <w:tcPr>
                  <w:tcW w:w="507"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5</w:t>
                  </w:r>
                  <w:r>
                    <w:rPr>
                      <w:b/>
                      <w:sz w:val="21"/>
                      <w:szCs w:val="21"/>
                      <w:u w:val="single"/>
                    </w:rPr>
                    <w:t>3</w:t>
                  </w:r>
                </w:p>
              </w:tc>
              <w:tc>
                <w:tcPr>
                  <w:tcW w:w="766" w:type="pct"/>
                  <w:tcBorders>
                    <w:top w:val="single" w:color="auto" w:sz="4" w:space="0"/>
                    <w:left w:val="single" w:color="auto" w:sz="4" w:space="0"/>
                    <w:bottom w:val="single" w:color="auto" w:sz="4" w:space="0"/>
                    <w:right w:val="single" w:color="auto" w:sz="12"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9</w:t>
                  </w:r>
                  <w:r>
                    <w:rPr>
                      <w:b/>
                      <w:sz w:val="21"/>
                      <w:szCs w:val="21"/>
                      <w:u w:val="singl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tcBorders>
                    <w:top w:val="single" w:color="auto" w:sz="4" w:space="0"/>
                    <w:left w:val="single" w:color="auto" w:sz="12"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面源</w:t>
                  </w:r>
                </w:p>
              </w:tc>
              <w:tc>
                <w:tcPr>
                  <w:tcW w:w="65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生产车间</w:t>
                  </w:r>
                </w:p>
              </w:tc>
              <w:tc>
                <w:tcPr>
                  <w:tcW w:w="7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b/>
                      <w:sz w:val="21"/>
                      <w:szCs w:val="21"/>
                      <w:u w:val="single"/>
                    </w:rPr>
                    <w:t>颗粒物</w:t>
                  </w:r>
                </w:p>
              </w:tc>
              <w:tc>
                <w:tcPr>
                  <w:tcW w:w="1222"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b/>
                      <w:sz w:val="21"/>
                      <w:szCs w:val="21"/>
                      <w:u w:val="single"/>
                    </w:rPr>
                    <w:t>13.576</w:t>
                  </w:r>
                </w:p>
              </w:tc>
              <w:tc>
                <w:tcPr>
                  <w:tcW w:w="715"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0</w:t>
                  </w:r>
                  <w:r>
                    <w:rPr>
                      <w:b/>
                      <w:sz w:val="21"/>
                      <w:szCs w:val="21"/>
                      <w:u w:val="single"/>
                    </w:rPr>
                    <w:t>.98</w:t>
                  </w:r>
                </w:p>
              </w:tc>
              <w:tc>
                <w:tcPr>
                  <w:tcW w:w="507"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5</w:t>
                  </w:r>
                  <w:r>
                    <w:rPr>
                      <w:b/>
                      <w:sz w:val="21"/>
                      <w:szCs w:val="21"/>
                      <w:u w:val="single"/>
                    </w:rPr>
                    <w:t>7</w:t>
                  </w:r>
                </w:p>
              </w:tc>
              <w:tc>
                <w:tcPr>
                  <w:tcW w:w="766" w:type="pct"/>
                  <w:tcBorders>
                    <w:top w:val="single" w:color="auto" w:sz="4" w:space="0"/>
                    <w:left w:val="single" w:color="auto" w:sz="4" w:space="0"/>
                    <w:bottom w:val="single" w:color="auto" w:sz="4" w:space="0"/>
                    <w:right w:val="single" w:color="auto" w:sz="12"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9</w:t>
                  </w:r>
                  <w:r>
                    <w:rPr>
                      <w:b/>
                      <w:sz w:val="21"/>
                      <w:szCs w:val="21"/>
                      <w:u w:val="singl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7" w:type="pct"/>
                  <w:gridSpan w:val="2"/>
                  <w:tcBorders>
                    <w:top w:val="single" w:color="auto" w:sz="4" w:space="0"/>
                    <w:left w:val="single" w:color="auto" w:sz="12" w:space="0"/>
                    <w:bottom w:val="single" w:color="auto" w:sz="12"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rFonts w:hint="eastAsia"/>
                      <w:b/>
                      <w:sz w:val="21"/>
                      <w:szCs w:val="21"/>
                      <w:u w:val="single"/>
                    </w:rPr>
                    <w:t>各源最大值</w:t>
                  </w:r>
                </w:p>
              </w:tc>
              <w:tc>
                <w:tcPr>
                  <w:tcW w:w="733" w:type="pct"/>
                  <w:tcBorders>
                    <w:top w:val="single" w:color="auto" w:sz="4" w:space="0"/>
                    <w:left w:val="single" w:color="auto" w:sz="4" w:space="0"/>
                    <w:bottom w:val="single" w:color="auto" w:sz="12" w:space="0"/>
                    <w:right w:val="single" w:color="auto" w:sz="4" w:space="0"/>
                  </w:tcBorders>
                  <w:vAlign w:val="center"/>
                </w:tcPr>
                <w:p>
                  <w:pPr>
                    <w:widowControl/>
                    <w:spacing w:line="360" w:lineRule="exact"/>
                    <w:ind w:firstLine="0" w:firstLineChars="0"/>
                    <w:jc w:val="center"/>
                    <w:textAlignment w:val="center"/>
                    <w:rPr>
                      <w:b/>
                      <w:sz w:val="21"/>
                      <w:szCs w:val="21"/>
                      <w:u w:val="single"/>
                    </w:rPr>
                  </w:pPr>
                  <w:r>
                    <w:rPr>
                      <w:b/>
                      <w:sz w:val="21"/>
                      <w:szCs w:val="21"/>
                      <w:u w:val="single"/>
                    </w:rPr>
                    <w:t>颗粒物</w:t>
                  </w:r>
                </w:p>
              </w:tc>
              <w:tc>
                <w:tcPr>
                  <w:tcW w:w="1222"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b/>
                      <w:sz w:val="21"/>
                      <w:szCs w:val="21"/>
                      <w:u w:val="single"/>
                    </w:rPr>
                    <w:t>13.576</w:t>
                  </w:r>
                </w:p>
              </w:tc>
              <w:tc>
                <w:tcPr>
                  <w:tcW w:w="715"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0</w:t>
                  </w:r>
                  <w:r>
                    <w:rPr>
                      <w:b/>
                      <w:sz w:val="21"/>
                      <w:szCs w:val="21"/>
                      <w:u w:val="single"/>
                    </w:rPr>
                    <w:t>.98</w:t>
                  </w:r>
                </w:p>
              </w:tc>
              <w:tc>
                <w:tcPr>
                  <w:tcW w:w="507" w:type="pct"/>
                  <w:tcBorders>
                    <w:top w:val="single" w:color="auto" w:sz="4" w:space="0"/>
                    <w:left w:val="single" w:color="auto" w:sz="4" w:space="0"/>
                    <w:bottom w:val="single" w:color="auto" w:sz="4" w:space="0"/>
                    <w:right w:val="single" w:color="auto" w:sz="4"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5</w:t>
                  </w:r>
                  <w:r>
                    <w:rPr>
                      <w:b/>
                      <w:sz w:val="21"/>
                      <w:szCs w:val="21"/>
                      <w:u w:val="single"/>
                    </w:rPr>
                    <w:t>7</w:t>
                  </w:r>
                </w:p>
              </w:tc>
              <w:tc>
                <w:tcPr>
                  <w:tcW w:w="766" w:type="pct"/>
                  <w:tcBorders>
                    <w:top w:val="single" w:color="auto" w:sz="4" w:space="0"/>
                    <w:left w:val="single" w:color="auto" w:sz="4" w:space="0"/>
                    <w:bottom w:val="single" w:color="auto" w:sz="12" w:space="0"/>
                    <w:right w:val="single" w:color="auto" w:sz="12" w:space="0"/>
                  </w:tcBorders>
                </w:tcPr>
                <w:p>
                  <w:pPr>
                    <w:widowControl/>
                    <w:spacing w:line="360" w:lineRule="exact"/>
                    <w:ind w:firstLine="0" w:firstLineChars="0"/>
                    <w:jc w:val="center"/>
                    <w:textAlignment w:val="center"/>
                    <w:rPr>
                      <w:b/>
                      <w:sz w:val="21"/>
                      <w:szCs w:val="21"/>
                      <w:u w:val="single"/>
                    </w:rPr>
                  </w:pPr>
                  <w:r>
                    <w:rPr>
                      <w:rFonts w:hint="eastAsia"/>
                      <w:b/>
                      <w:sz w:val="21"/>
                      <w:szCs w:val="21"/>
                      <w:u w:val="single"/>
                    </w:rPr>
                    <w:t>9</w:t>
                  </w:r>
                  <w:r>
                    <w:rPr>
                      <w:b/>
                      <w:sz w:val="21"/>
                      <w:szCs w:val="21"/>
                      <w:u w:val="single"/>
                    </w:rPr>
                    <w:t>00</w:t>
                  </w:r>
                </w:p>
              </w:tc>
            </w:tr>
          </w:tbl>
          <w:p>
            <w:pPr>
              <w:snapToGrid w:val="0"/>
              <w:spacing w:line="500" w:lineRule="exact"/>
              <w:ind w:firstLine="482"/>
              <w:rPr>
                <w:b/>
                <w:snapToGrid w:val="0"/>
                <w:szCs w:val="22"/>
                <w:u w:val="single"/>
              </w:rPr>
            </w:pPr>
            <w:r>
              <w:rPr>
                <w:rFonts w:hint="eastAsia"/>
                <w:b/>
                <w:snapToGrid w:val="0"/>
                <w:szCs w:val="22"/>
                <w:u w:val="single"/>
              </w:rPr>
              <w:t>⑤评价等级分级</w:t>
            </w:r>
          </w:p>
          <w:p>
            <w:pPr>
              <w:snapToGrid w:val="0"/>
              <w:spacing w:line="500" w:lineRule="exact"/>
              <w:ind w:firstLine="482"/>
              <w:rPr>
                <w:b/>
                <w:u w:val="single"/>
              </w:rPr>
            </w:pPr>
            <w:r>
              <w:rPr>
                <w:rFonts w:hint="eastAsia"/>
                <w:b/>
                <w:snapToGrid w:val="0"/>
                <w:u w:val="single"/>
              </w:rPr>
              <w:t>《环境影响评价技术导则大气环境》（</w:t>
            </w:r>
            <w:r>
              <w:rPr>
                <w:b/>
                <w:snapToGrid w:val="0"/>
                <w:u w:val="single"/>
              </w:rPr>
              <w:t>HJ2.2—2018</w:t>
            </w:r>
            <w:r>
              <w:rPr>
                <w:rFonts w:hint="eastAsia"/>
                <w:b/>
                <w:snapToGrid w:val="0"/>
                <w:u w:val="single"/>
              </w:rPr>
              <w:t>）中评价等级判断依据见下表。</w:t>
            </w:r>
          </w:p>
          <w:p>
            <w:pPr>
              <w:pStyle w:val="7"/>
              <w:rPr>
                <w:b/>
                <w:u w:val="single"/>
                <w:lang w:val="zh-CN"/>
              </w:rPr>
            </w:pPr>
            <w:r>
              <w:rPr>
                <w:rFonts w:hint="eastAsia"/>
                <w:b/>
                <w:u w:val="single"/>
                <w:lang w:val="zh-CN"/>
              </w:rPr>
              <w:t>评价工作等级判定依据</w:t>
            </w:r>
          </w:p>
          <w:tbl>
            <w:tblPr>
              <w:tblStyle w:val="20"/>
              <w:tblW w:w="873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3098"/>
              <w:gridCol w:w="56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098" w:type="dxa"/>
                  <w:tcBorders>
                    <w:top w:val="single" w:color="000000" w:sz="12" w:space="0"/>
                    <w:left w:val="single" w:color="000000" w:sz="12" w:space="0"/>
                    <w:bottom w:val="single" w:color="000000" w:sz="4" w:space="0"/>
                    <w:right w:val="single" w:color="000000" w:sz="4" w:space="0"/>
                  </w:tcBorders>
                </w:tcPr>
                <w:p>
                  <w:pPr>
                    <w:spacing w:line="360" w:lineRule="exact"/>
                    <w:ind w:firstLine="0" w:firstLineChars="0"/>
                    <w:jc w:val="center"/>
                    <w:rPr>
                      <w:b/>
                      <w:kern w:val="0"/>
                      <w:sz w:val="21"/>
                      <w:szCs w:val="21"/>
                      <w:u w:val="single"/>
                    </w:rPr>
                  </w:pPr>
                  <w:r>
                    <w:rPr>
                      <w:rFonts w:hint="eastAsia"/>
                      <w:b/>
                      <w:kern w:val="0"/>
                      <w:sz w:val="21"/>
                      <w:szCs w:val="21"/>
                      <w:u w:val="single"/>
                    </w:rPr>
                    <w:t>评价工作等级</w:t>
                  </w:r>
                </w:p>
              </w:tc>
              <w:tc>
                <w:tcPr>
                  <w:tcW w:w="5632" w:type="dxa"/>
                  <w:tcBorders>
                    <w:top w:val="single" w:color="000000" w:sz="12" w:space="0"/>
                    <w:left w:val="single" w:color="000000" w:sz="4" w:space="0"/>
                    <w:bottom w:val="single" w:color="000000" w:sz="4" w:space="0"/>
                    <w:right w:val="single" w:color="000000" w:sz="12" w:space="0"/>
                  </w:tcBorders>
                </w:tcPr>
                <w:p>
                  <w:pPr>
                    <w:spacing w:line="360" w:lineRule="exact"/>
                    <w:ind w:firstLine="0" w:firstLineChars="0"/>
                    <w:jc w:val="center"/>
                    <w:rPr>
                      <w:b/>
                      <w:kern w:val="0"/>
                      <w:sz w:val="21"/>
                      <w:szCs w:val="21"/>
                      <w:u w:val="single"/>
                    </w:rPr>
                  </w:pPr>
                  <w:r>
                    <w:rPr>
                      <w:rFonts w:hint="eastAsia"/>
                      <w:b/>
                      <w:kern w:val="0"/>
                      <w:sz w:val="21"/>
                      <w:szCs w:val="21"/>
                      <w:u w:val="single"/>
                    </w:rPr>
                    <w:t>评价工作分级判据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098" w:type="dxa"/>
                  <w:tcBorders>
                    <w:top w:val="single" w:color="000000" w:sz="4" w:space="0"/>
                    <w:left w:val="single" w:color="000000" w:sz="12" w:space="0"/>
                    <w:bottom w:val="single" w:color="000000" w:sz="4" w:space="0"/>
                    <w:right w:val="single" w:color="000000" w:sz="4" w:space="0"/>
                  </w:tcBorders>
                </w:tcPr>
                <w:p>
                  <w:pPr>
                    <w:spacing w:line="360" w:lineRule="exact"/>
                    <w:ind w:firstLine="0" w:firstLineChars="0"/>
                    <w:jc w:val="center"/>
                    <w:rPr>
                      <w:b/>
                      <w:kern w:val="0"/>
                      <w:sz w:val="21"/>
                      <w:szCs w:val="21"/>
                      <w:u w:val="single"/>
                    </w:rPr>
                  </w:pPr>
                  <w:r>
                    <w:rPr>
                      <w:rFonts w:hint="eastAsia"/>
                      <w:b/>
                      <w:kern w:val="0"/>
                      <w:sz w:val="21"/>
                      <w:szCs w:val="21"/>
                      <w:u w:val="single"/>
                    </w:rPr>
                    <w:t>一级评价</w:t>
                  </w:r>
                </w:p>
              </w:tc>
              <w:tc>
                <w:tcPr>
                  <w:tcW w:w="5632" w:type="dxa"/>
                  <w:tcBorders>
                    <w:top w:val="single" w:color="000000" w:sz="4" w:space="0"/>
                    <w:left w:val="single" w:color="000000" w:sz="4" w:space="0"/>
                    <w:bottom w:val="single" w:color="000000" w:sz="4" w:space="0"/>
                    <w:right w:val="single" w:color="000000" w:sz="12" w:space="0"/>
                  </w:tcBorders>
                </w:tcPr>
                <w:p>
                  <w:pPr>
                    <w:spacing w:line="360" w:lineRule="exact"/>
                    <w:ind w:firstLine="0" w:firstLineChars="0"/>
                    <w:jc w:val="center"/>
                    <w:rPr>
                      <w:b/>
                      <w:kern w:val="0"/>
                      <w:sz w:val="21"/>
                      <w:szCs w:val="21"/>
                      <w:u w:val="single"/>
                    </w:rPr>
                  </w:pPr>
                  <w:r>
                    <w:rPr>
                      <w:b/>
                      <w:kern w:val="0"/>
                      <w:sz w:val="21"/>
                      <w:szCs w:val="21"/>
                      <w:u w:val="single"/>
                    </w:rPr>
                    <w:t>Pmax≥10%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098" w:type="dxa"/>
                  <w:tcBorders>
                    <w:top w:val="single" w:color="000000" w:sz="4" w:space="0"/>
                    <w:left w:val="single" w:color="000000" w:sz="12" w:space="0"/>
                    <w:bottom w:val="single" w:color="000000" w:sz="4" w:space="0"/>
                    <w:right w:val="single" w:color="000000" w:sz="4" w:space="0"/>
                  </w:tcBorders>
                </w:tcPr>
                <w:p>
                  <w:pPr>
                    <w:spacing w:line="360" w:lineRule="exact"/>
                    <w:ind w:firstLine="0" w:firstLineChars="0"/>
                    <w:jc w:val="center"/>
                    <w:rPr>
                      <w:b/>
                      <w:kern w:val="0"/>
                      <w:sz w:val="21"/>
                      <w:szCs w:val="21"/>
                      <w:u w:val="single"/>
                    </w:rPr>
                  </w:pPr>
                  <w:r>
                    <w:rPr>
                      <w:rFonts w:hint="eastAsia"/>
                      <w:b/>
                      <w:kern w:val="0"/>
                      <w:sz w:val="21"/>
                      <w:szCs w:val="21"/>
                      <w:u w:val="single"/>
                    </w:rPr>
                    <w:t>二级评价</w:t>
                  </w:r>
                </w:p>
              </w:tc>
              <w:tc>
                <w:tcPr>
                  <w:tcW w:w="5632" w:type="dxa"/>
                  <w:tcBorders>
                    <w:top w:val="single" w:color="000000" w:sz="4" w:space="0"/>
                    <w:left w:val="single" w:color="000000" w:sz="4" w:space="0"/>
                    <w:bottom w:val="single" w:color="000000" w:sz="4" w:space="0"/>
                    <w:right w:val="single" w:color="000000" w:sz="12" w:space="0"/>
                  </w:tcBorders>
                </w:tcPr>
                <w:p>
                  <w:pPr>
                    <w:spacing w:line="360" w:lineRule="exact"/>
                    <w:ind w:firstLine="0" w:firstLineChars="0"/>
                    <w:jc w:val="center"/>
                    <w:rPr>
                      <w:b/>
                      <w:kern w:val="0"/>
                      <w:sz w:val="21"/>
                      <w:szCs w:val="21"/>
                      <w:u w:val="single"/>
                    </w:rPr>
                  </w:pPr>
                  <w:r>
                    <w:rPr>
                      <w:b/>
                      <w:kern w:val="0"/>
                      <w:sz w:val="21"/>
                      <w:szCs w:val="21"/>
                      <w:u w:val="single"/>
                    </w:rPr>
                    <w:t>1% ≤Pmax</w:t>
                  </w:r>
                  <w:r>
                    <w:rPr>
                      <w:rFonts w:hint="eastAsia"/>
                      <w:b/>
                      <w:kern w:val="0"/>
                      <w:sz w:val="21"/>
                      <w:szCs w:val="21"/>
                      <w:u w:val="single"/>
                    </w:rPr>
                    <w:t>＜</w:t>
                  </w:r>
                  <w:r>
                    <w:rPr>
                      <w:b/>
                      <w:kern w:val="0"/>
                      <w:sz w:val="21"/>
                      <w:szCs w:val="21"/>
                      <w:u w:val="single"/>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098" w:type="dxa"/>
                  <w:tcBorders>
                    <w:top w:val="single" w:color="000000" w:sz="4" w:space="0"/>
                    <w:left w:val="single" w:color="000000" w:sz="12" w:space="0"/>
                    <w:bottom w:val="single" w:color="000000" w:sz="12" w:space="0"/>
                    <w:right w:val="single" w:color="000000" w:sz="4" w:space="0"/>
                  </w:tcBorders>
                </w:tcPr>
                <w:p>
                  <w:pPr>
                    <w:spacing w:line="360" w:lineRule="exact"/>
                    <w:ind w:firstLine="0" w:firstLineChars="0"/>
                    <w:jc w:val="center"/>
                    <w:rPr>
                      <w:b/>
                      <w:kern w:val="0"/>
                      <w:sz w:val="21"/>
                      <w:szCs w:val="21"/>
                      <w:u w:val="single"/>
                    </w:rPr>
                  </w:pPr>
                  <w:r>
                    <w:rPr>
                      <w:rFonts w:hint="eastAsia"/>
                      <w:b/>
                      <w:kern w:val="0"/>
                      <w:sz w:val="21"/>
                      <w:szCs w:val="21"/>
                      <w:u w:val="single"/>
                    </w:rPr>
                    <w:t>三级评价</w:t>
                  </w:r>
                </w:p>
              </w:tc>
              <w:tc>
                <w:tcPr>
                  <w:tcW w:w="5632" w:type="dxa"/>
                  <w:tcBorders>
                    <w:top w:val="single" w:color="000000" w:sz="4" w:space="0"/>
                    <w:left w:val="single" w:color="000000" w:sz="4" w:space="0"/>
                    <w:bottom w:val="single" w:color="000000" w:sz="12" w:space="0"/>
                    <w:right w:val="single" w:color="000000" w:sz="12" w:space="0"/>
                  </w:tcBorders>
                </w:tcPr>
                <w:p>
                  <w:pPr>
                    <w:spacing w:line="360" w:lineRule="exact"/>
                    <w:ind w:firstLine="0" w:firstLineChars="0"/>
                    <w:jc w:val="center"/>
                    <w:rPr>
                      <w:b/>
                      <w:kern w:val="0"/>
                      <w:sz w:val="21"/>
                      <w:szCs w:val="21"/>
                      <w:u w:val="single"/>
                    </w:rPr>
                  </w:pPr>
                  <w:r>
                    <w:rPr>
                      <w:b/>
                      <w:kern w:val="0"/>
                      <w:sz w:val="21"/>
                      <w:szCs w:val="21"/>
                      <w:u w:val="single"/>
                    </w:rPr>
                    <w:t>Pmax</w:t>
                  </w:r>
                  <w:r>
                    <w:rPr>
                      <w:rFonts w:hint="eastAsia"/>
                      <w:b/>
                      <w:kern w:val="0"/>
                      <w:sz w:val="21"/>
                      <w:szCs w:val="21"/>
                      <w:u w:val="single"/>
                    </w:rPr>
                    <w:t>＜</w:t>
                  </w:r>
                  <w:r>
                    <w:rPr>
                      <w:b/>
                      <w:kern w:val="0"/>
                      <w:sz w:val="21"/>
                      <w:szCs w:val="21"/>
                      <w:u w:val="single"/>
                    </w:rPr>
                    <w:t>1%</w:t>
                  </w:r>
                </w:p>
              </w:tc>
            </w:tr>
          </w:tbl>
          <w:p>
            <w:pPr>
              <w:ind w:firstLine="482"/>
              <w:rPr>
                <w:b/>
                <w:u w:val="single"/>
              </w:rPr>
            </w:pPr>
            <w:r>
              <w:rPr>
                <w:rFonts w:hint="eastAsia"/>
                <w:b/>
                <w:snapToGrid w:val="0"/>
                <w:u w:val="single"/>
              </w:rPr>
              <w:t>结合估算结果可知，本项目大气评价等级应为三级。根据《环境影响评价技术导则</w:t>
            </w:r>
            <w:r>
              <w:rPr>
                <w:b/>
                <w:snapToGrid w:val="0"/>
                <w:u w:val="single"/>
              </w:rPr>
              <w:t xml:space="preserve"> </w:t>
            </w:r>
            <w:r>
              <w:rPr>
                <w:rFonts w:hint="eastAsia"/>
                <w:b/>
                <w:snapToGrid w:val="0"/>
                <w:u w:val="single"/>
              </w:rPr>
              <w:t>大气环境》（</w:t>
            </w:r>
            <w:r>
              <w:rPr>
                <w:b/>
                <w:snapToGrid w:val="0"/>
                <w:u w:val="single"/>
              </w:rPr>
              <w:t>HJ2.2-2018</w:t>
            </w:r>
            <w:r>
              <w:rPr>
                <w:rFonts w:hint="eastAsia"/>
                <w:b/>
                <w:snapToGrid w:val="0"/>
                <w:u w:val="single"/>
              </w:rPr>
              <w:t>），</w:t>
            </w:r>
            <w:r>
              <w:rPr>
                <w:b/>
                <w:snapToGrid w:val="0"/>
                <w:u w:val="single"/>
              </w:rPr>
              <w:t>“</w:t>
            </w:r>
            <w:r>
              <w:rPr>
                <w:rFonts w:hint="eastAsia"/>
                <w:b/>
                <w:snapToGrid w:val="0"/>
                <w:u w:val="single"/>
              </w:rPr>
              <w:t>三级评价项目不进行进一步预测与评价</w:t>
            </w:r>
            <w:r>
              <w:rPr>
                <w:b/>
                <w:snapToGrid w:val="0"/>
                <w:u w:val="single"/>
              </w:rPr>
              <w:t>”</w:t>
            </w:r>
            <w:r>
              <w:rPr>
                <w:rFonts w:hint="eastAsia"/>
                <w:b/>
                <w:snapToGrid w:val="0"/>
                <w:u w:val="single"/>
              </w:rPr>
              <w:t>，故本项目不需要进行进一步预测与评价。</w:t>
            </w:r>
          </w:p>
          <w:p>
            <w:pPr>
              <w:ind w:firstLine="482"/>
              <w:rPr>
                <w:b/>
                <w:u w:val="single"/>
              </w:rPr>
            </w:pPr>
            <w:r>
              <w:rPr>
                <w:rFonts w:hint="eastAsia"/>
                <w:b/>
                <w:u w:val="single"/>
              </w:rPr>
              <w:t>（3）防护距离计算</w:t>
            </w:r>
          </w:p>
          <w:p>
            <w:pPr>
              <w:ind w:firstLine="482"/>
              <w:rPr>
                <w:b/>
                <w:u w:val="single"/>
              </w:rPr>
            </w:pPr>
            <w:r>
              <w:rPr>
                <w:rFonts w:hint="eastAsia"/>
                <w:b/>
                <w:u w:val="single"/>
              </w:rPr>
              <w:t>①大气环境防护距离 根据《环境影响评价技术导则大气环境》（HJ/2.2-2018）中的相关要求，本项目大气评价等级为三级评价，因此无需设置大气环境防护距离。</w:t>
            </w:r>
          </w:p>
          <w:p>
            <w:pPr>
              <w:ind w:firstLine="482"/>
              <w:rPr>
                <w:b/>
                <w:u w:val="single"/>
              </w:rPr>
            </w:pPr>
            <w:r>
              <w:rPr>
                <w:rFonts w:hint="eastAsia"/>
                <w:b/>
                <w:u w:val="single"/>
              </w:rPr>
              <w:t>②卫生防护距离预测</w:t>
            </w:r>
          </w:p>
          <w:p>
            <w:pPr>
              <w:ind w:firstLine="482"/>
              <w:rPr>
                <w:b/>
                <w:u w:val="single"/>
              </w:rPr>
            </w:pPr>
            <w:r>
              <w:rPr>
                <w:rFonts w:hint="eastAsia"/>
                <w:b/>
                <w:u w:val="single"/>
              </w:rPr>
              <w:t>根据《制定地方大气污染物排放标准的技术方法》（GB/T13201-91）可知，无组织排放的有害气体进入呼吸带大气层时，其浓度如超过GB3095与TJ36规定的居住区容许浓度限值，则无组织排放源所在的生产单元（生产区、车间或工段）与居住区之间应设 置卫生防护距离。由以上工程分析可知，本项目无组织排放焊接烟尘浓度未超过GB3095与TJ36规定的居住区容许浓度限值，因此无需设置卫生防护距离。</w:t>
            </w:r>
          </w:p>
          <w:p>
            <w:pPr>
              <w:ind w:firstLine="482"/>
              <w:rPr>
                <w:b/>
                <w:u w:val="single"/>
              </w:rPr>
            </w:pPr>
            <w:r>
              <w:rPr>
                <w:rFonts w:hint="eastAsia"/>
                <w:b/>
                <w:u w:val="single"/>
              </w:rPr>
              <w:t>为进一步减少对周围环境的影响，确保工人健康，评价建议车间加强通风，员工佩戴口罩等防护措施，加强对车间内工人的劳动保护。采取以上措施后，该项目废气对车间工人和周围环境影响较小。</w:t>
            </w:r>
          </w:p>
          <w:p>
            <w:pPr>
              <w:ind w:firstLine="482"/>
              <w:rPr>
                <w:b/>
                <w:u w:val="single"/>
              </w:rPr>
            </w:pPr>
            <w:r>
              <w:rPr>
                <w:rFonts w:hint="eastAsia"/>
                <w:b/>
                <w:u w:val="single"/>
              </w:rPr>
              <w:t>（</w:t>
            </w:r>
            <w:r>
              <w:rPr>
                <w:b/>
                <w:u w:val="single"/>
              </w:rPr>
              <w:t>4</w:t>
            </w:r>
            <w:r>
              <w:rPr>
                <w:rFonts w:hint="eastAsia"/>
                <w:b/>
                <w:u w:val="single"/>
              </w:rPr>
              <w:t>）大气污染物排放量核算</w:t>
            </w:r>
          </w:p>
          <w:p>
            <w:pPr>
              <w:ind w:firstLine="482"/>
              <w:rPr>
                <w:b/>
                <w:u w:val="single"/>
              </w:rPr>
            </w:pPr>
            <w:r>
              <w:rPr>
                <w:rFonts w:hint="eastAsia"/>
                <w:b/>
                <w:u w:val="single"/>
              </w:rPr>
              <w:t>本项目大气污染物核算见下表。</w:t>
            </w:r>
          </w:p>
          <w:p>
            <w:pPr>
              <w:pStyle w:val="7"/>
              <w:rPr>
                <w:b/>
                <w:u w:val="single"/>
              </w:rPr>
            </w:pPr>
            <w:r>
              <w:rPr>
                <w:rFonts w:hint="eastAsia"/>
                <w:b/>
                <w:u w:val="single"/>
                <w:lang w:val="zh-CN"/>
              </w:rPr>
              <w:t>大气污染物年排放量核算表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3251"/>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pct"/>
                  <w:vAlign w:val="center"/>
                </w:tcPr>
                <w:p>
                  <w:pPr>
                    <w:spacing w:line="240" w:lineRule="auto"/>
                    <w:ind w:firstLine="0" w:firstLineChars="0"/>
                    <w:jc w:val="center"/>
                    <w:rPr>
                      <w:b/>
                      <w:sz w:val="21"/>
                      <w:szCs w:val="21"/>
                      <w:u w:val="single"/>
                    </w:rPr>
                  </w:pPr>
                  <w:r>
                    <w:rPr>
                      <w:rFonts w:hint="eastAsia"/>
                      <w:b/>
                      <w:sz w:val="21"/>
                      <w:szCs w:val="21"/>
                      <w:u w:val="single"/>
                    </w:rPr>
                    <w:t>序号</w:t>
                  </w:r>
                </w:p>
              </w:tc>
              <w:tc>
                <w:tcPr>
                  <w:tcW w:w="1864" w:type="pct"/>
                  <w:vAlign w:val="center"/>
                </w:tcPr>
                <w:p>
                  <w:pPr>
                    <w:spacing w:line="240" w:lineRule="auto"/>
                    <w:ind w:firstLine="0" w:firstLineChars="0"/>
                    <w:jc w:val="center"/>
                    <w:rPr>
                      <w:b/>
                      <w:sz w:val="21"/>
                      <w:szCs w:val="21"/>
                      <w:u w:val="single"/>
                    </w:rPr>
                  </w:pPr>
                  <w:r>
                    <w:rPr>
                      <w:rFonts w:hint="eastAsia"/>
                      <w:b/>
                      <w:sz w:val="21"/>
                      <w:szCs w:val="21"/>
                      <w:u w:val="single"/>
                    </w:rPr>
                    <w:t>污染物</w:t>
                  </w:r>
                </w:p>
              </w:tc>
              <w:tc>
                <w:tcPr>
                  <w:tcW w:w="1667" w:type="pct"/>
                  <w:vAlign w:val="center"/>
                </w:tcPr>
                <w:p>
                  <w:pPr>
                    <w:spacing w:line="240" w:lineRule="auto"/>
                    <w:ind w:firstLine="0" w:firstLineChars="0"/>
                    <w:jc w:val="center"/>
                    <w:rPr>
                      <w:b/>
                      <w:sz w:val="21"/>
                      <w:szCs w:val="21"/>
                      <w:u w:val="single"/>
                    </w:rPr>
                  </w:pPr>
                  <w:r>
                    <w:rPr>
                      <w:rFonts w:hint="eastAsia"/>
                      <w:b/>
                      <w:sz w:val="21"/>
                      <w:szCs w:val="21"/>
                      <w:u w:val="singl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pct"/>
                  <w:vAlign w:val="center"/>
                </w:tcPr>
                <w:p>
                  <w:pPr>
                    <w:spacing w:line="240" w:lineRule="auto"/>
                    <w:ind w:firstLine="0" w:firstLineChars="0"/>
                    <w:jc w:val="center"/>
                    <w:rPr>
                      <w:b/>
                      <w:sz w:val="21"/>
                      <w:szCs w:val="21"/>
                      <w:u w:val="single"/>
                    </w:rPr>
                  </w:pPr>
                  <w:r>
                    <w:rPr>
                      <w:rFonts w:hint="eastAsia"/>
                      <w:b/>
                      <w:sz w:val="21"/>
                      <w:szCs w:val="21"/>
                      <w:u w:val="single"/>
                    </w:rPr>
                    <w:t>1</w:t>
                  </w:r>
                </w:p>
              </w:tc>
              <w:tc>
                <w:tcPr>
                  <w:tcW w:w="1864" w:type="pct"/>
                  <w:vAlign w:val="center"/>
                </w:tcPr>
                <w:p>
                  <w:pPr>
                    <w:spacing w:line="240" w:lineRule="auto"/>
                    <w:ind w:firstLine="0" w:firstLineChars="0"/>
                    <w:jc w:val="center"/>
                    <w:rPr>
                      <w:b/>
                      <w:sz w:val="21"/>
                      <w:szCs w:val="21"/>
                      <w:u w:val="single"/>
                    </w:rPr>
                  </w:pPr>
                  <w:r>
                    <w:rPr>
                      <w:rFonts w:hint="eastAsia"/>
                      <w:b/>
                      <w:sz w:val="21"/>
                      <w:szCs w:val="21"/>
                      <w:u w:val="single"/>
                    </w:rPr>
                    <w:t>颗粒物</w:t>
                  </w:r>
                </w:p>
              </w:tc>
              <w:tc>
                <w:tcPr>
                  <w:tcW w:w="1667" w:type="pct"/>
                  <w:vAlign w:val="center"/>
                </w:tcPr>
                <w:p>
                  <w:pPr>
                    <w:spacing w:line="240" w:lineRule="auto"/>
                    <w:ind w:firstLine="0" w:firstLineChars="0"/>
                    <w:jc w:val="center"/>
                    <w:rPr>
                      <w:b/>
                      <w:sz w:val="21"/>
                      <w:szCs w:val="21"/>
                      <w:u w:val="single"/>
                    </w:rPr>
                  </w:pPr>
                  <w:r>
                    <w:rPr>
                      <w:rFonts w:hint="eastAsia"/>
                      <w:b/>
                      <w:sz w:val="21"/>
                      <w:szCs w:val="21"/>
                      <w:u w:val="single"/>
                    </w:rPr>
                    <w:t>0</w:t>
                  </w:r>
                  <w:r>
                    <w:rPr>
                      <w:b/>
                      <w:sz w:val="21"/>
                      <w:szCs w:val="21"/>
                      <w:u w:val="single"/>
                    </w:rPr>
                    <w:t>.05526</w:t>
                  </w:r>
                </w:p>
              </w:tc>
            </w:tr>
          </w:tbl>
          <w:p>
            <w:pPr>
              <w:ind w:firstLine="482"/>
              <w:rPr>
                <w:b/>
                <w:u w:val="single"/>
              </w:rPr>
            </w:pPr>
            <w:r>
              <w:rPr>
                <w:rFonts w:hint="eastAsia"/>
                <w:b/>
                <w:u w:val="single"/>
              </w:rPr>
              <w:t>（5）监测</w:t>
            </w:r>
          </w:p>
          <w:p>
            <w:pPr>
              <w:ind w:firstLine="482"/>
              <w:rPr>
                <w:b/>
                <w:u w:val="single"/>
              </w:rPr>
            </w:pPr>
            <w:r>
              <w:rPr>
                <w:rFonts w:hint="eastAsia"/>
                <w:b/>
                <w:u w:val="single"/>
              </w:rPr>
              <w:t>项目运营期环境监测计划见下表。</w:t>
            </w:r>
          </w:p>
          <w:p>
            <w:pPr>
              <w:pStyle w:val="7"/>
              <w:rPr>
                <w:b/>
                <w:u w:val="single"/>
              </w:rPr>
            </w:pPr>
            <w:r>
              <w:rPr>
                <w:rFonts w:hint="eastAsia"/>
                <w:b/>
                <w:u w:val="single"/>
              </w:rPr>
              <w:t>废气监测内容及频次一览表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2272"/>
              <w:gridCol w:w="1686"/>
              <w:gridCol w:w="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97" w:type="dxa"/>
                  <w:vAlign w:val="center"/>
                </w:tcPr>
                <w:p>
                  <w:pPr>
                    <w:spacing w:line="240" w:lineRule="auto"/>
                    <w:ind w:firstLine="0" w:firstLineChars="0"/>
                    <w:jc w:val="center"/>
                    <w:rPr>
                      <w:b/>
                      <w:sz w:val="21"/>
                      <w:szCs w:val="21"/>
                      <w:u w:val="single"/>
                    </w:rPr>
                  </w:pPr>
                  <w:r>
                    <w:rPr>
                      <w:rFonts w:hint="eastAsia"/>
                      <w:b/>
                      <w:sz w:val="21"/>
                      <w:szCs w:val="21"/>
                      <w:u w:val="single"/>
                    </w:rPr>
                    <w:t>类别</w:t>
                  </w:r>
                </w:p>
              </w:tc>
              <w:tc>
                <w:tcPr>
                  <w:tcW w:w="2275" w:type="dxa"/>
                  <w:vAlign w:val="center"/>
                </w:tcPr>
                <w:p>
                  <w:pPr>
                    <w:spacing w:line="240" w:lineRule="auto"/>
                    <w:ind w:firstLine="0" w:firstLineChars="0"/>
                    <w:jc w:val="center"/>
                    <w:rPr>
                      <w:b/>
                      <w:sz w:val="21"/>
                      <w:szCs w:val="21"/>
                      <w:u w:val="single"/>
                    </w:rPr>
                  </w:pPr>
                  <w:r>
                    <w:rPr>
                      <w:rFonts w:hint="eastAsia"/>
                      <w:b/>
                      <w:sz w:val="21"/>
                      <w:szCs w:val="21"/>
                      <w:u w:val="single"/>
                    </w:rPr>
                    <w:t>监测点位</w:t>
                  </w:r>
                </w:p>
              </w:tc>
              <w:tc>
                <w:tcPr>
                  <w:tcW w:w="1688" w:type="dxa"/>
                  <w:vAlign w:val="center"/>
                </w:tcPr>
                <w:p>
                  <w:pPr>
                    <w:spacing w:line="240" w:lineRule="auto"/>
                    <w:ind w:firstLine="0" w:firstLineChars="0"/>
                    <w:jc w:val="center"/>
                    <w:rPr>
                      <w:b/>
                      <w:sz w:val="21"/>
                      <w:szCs w:val="21"/>
                      <w:u w:val="single"/>
                    </w:rPr>
                  </w:pPr>
                  <w:r>
                    <w:rPr>
                      <w:rFonts w:hint="eastAsia"/>
                      <w:b/>
                      <w:sz w:val="21"/>
                      <w:szCs w:val="21"/>
                      <w:u w:val="single"/>
                    </w:rPr>
                    <w:t>监测因子</w:t>
                  </w:r>
                </w:p>
              </w:tc>
              <w:tc>
                <w:tcPr>
                  <w:tcW w:w="3471" w:type="dxa"/>
                  <w:vAlign w:val="center"/>
                </w:tcPr>
                <w:p>
                  <w:pPr>
                    <w:spacing w:line="240" w:lineRule="auto"/>
                    <w:ind w:firstLine="0" w:firstLineChars="0"/>
                    <w:jc w:val="center"/>
                    <w:rPr>
                      <w:b/>
                      <w:sz w:val="21"/>
                      <w:szCs w:val="21"/>
                      <w:u w:val="single"/>
                    </w:rPr>
                  </w:pPr>
                  <w:r>
                    <w:rPr>
                      <w:rFonts w:hint="eastAsia"/>
                      <w:b/>
                      <w:sz w:val="21"/>
                      <w:szCs w:val="21"/>
                      <w:u w:val="singl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97" w:type="dxa"/>
                  <w:vMerge w:val="restart"/>
                  <w:vAlign w:val="center"/>
                </w:tcPr>
                <w:p>
                  <w:pPr>
                    <w:spacing w:line="240" w:lineRule="auto"/>
                    <w:ind w:firstLine="0" w:firstLineChars="0"/>
                    <w:jc w:val="center"/>
                    <w:rPr>
                      <w:b/>
                      <w:sz w:val="21"/>
                      <w:szCs w:val="21"/>
                      <w:u w:val="single"/>
                    </w:rPr>
                  </w:pPr>
                  <w:r>
                    <w:rPr>
                      <w:rFonts w:hint="eastAsia"/>
                      <w:b/>
                      <w:sz w:val="21"/>
                      <w:szCs w:val="21"/>
                      <w:u w:val="single"/>
                    </w:rPr>
                    <w:t>废气</w:t>
                  </w:r>
                </w:p>
              </w:tc>
              <w:tc>
                <w:tcPr>
                  <w:tcW w:w="2275" w:type="dxa"/>
                  <w:vAlign w:val="center"/>
                </w:tcPr>
                <w:p>
                  <w:pPr>
                    <w:spacing w:line="240" w:lineRule="auto"/>
                    <w:ind w:firstLine="0" w:firstLineChars="0"/>
                    <w:jc w:val="center"/>
                    <w:rPr>
                      <w:b/>
                      <w:sz w:val="21"/>
                      <w:szCs w:val="21"/>
                      <w:u w:val="single"/>
                    </w:rPr>
                  </w:pPr>
                  <w:r>
                    <w:rPr>
                      <w:b/>
                      <w:sz w:val="21"/>
                      <w:szCs w:val="21"/>
                      <w:u w:val="single"/>
                    </w:rPr>
                    <w:t>排气筒</w:t>
                  </w:r>
                  <w:r>
                    <w:rPr>
                      <w:rFonts w:hint="eastAsia"/>
                      <w:b/>
                      <w:sz w:val="21"/>
                      <w:szCs w:val="21"/>
                      <w:u w:val="single"/>
                    </w:rPr>
                    <w:t>P1</w:t>
                  </w:r>
                </w:p>
              </w:tc>
              <w:tc>
                <w:tcPr>
                  <w:tcW w:w="1688" w:type="dxa"/>
                  <w:vMerge w:val="restart"/>
                  <w:vAlign w:val="center"/>
                </w:tcPr>
                <w:p>
                  <w:pPr>
                    <w:spacing w:line="240" w:lineRule="auto"/>
                    <w:ind w:firstLine="0" w:firstLineChars="0"/>
                    <w:jc w:val="center"/>
                    <w:rPr>
                      <w:b/>
                      <w:sz w:val="21"/>
                      <w:szCs w:val="21"/>
                      <w:u w:val="single"/>
                    </w:rPr>
                  </w:pPr>
                  <w:r>
                    <w:rPr>
                      <w:rFonts w:hint="eastAsia"/>
                      <w:b/>
                      <w:sz w:val="21"/>
                      <w:szCs w:val="21"/>
                      <w:u w:val="single"/>
                    </w:rPr>
                    <w:t>颗粒物</w:t>
                  </w:r>
                </w:p>
              </w:tc>
              <w:tc>
                <w:tcPr>
                  <w:tcW w:w="3471" w:type="dxa"/>
                  <w:vMerge w:val="restart"/>
                  <w:vAlign w:val="center"/>
                </w:tcPr>
                <w:p>
                  <w:pPr>
                    <w:tabs>
                      <w:tab w:val="left" w:pos="927"/>
                      <w:tab w:val="center" w:pos="1607"/>
                    </w:tabs>
                    <w:spacing w:line="240" w:lineRule="auto"/>
                    <w:ind w:firstLine="0" w:firstLineChars="0"/>
                    <w:jc w:val="center"/>
                    <w:rPr>
                      <w:b/>
                      <w:sz w:val="21"/>
                      <w:szCs w:val="21"/>
                      <w:u w:val="single"/>
                    </w:rPr>
                  </w:pPr>
                  <w:r>
                    <w:rPr>
                      <w:rFonts w:hint="eastAsia"/>
                      <w:b/>
                      <w:sz w:val="21"/>
                      <w:szCs w:val="21"/>
                      <w:u w:val="single"/>
                    </w:rPr>
                    <w:t>每年1次，每次2天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97" w:type="dxa"/>
                  <w:vMerge w:val="continue"/>
                  <w:vAlign w:val="center"/>
                </w:tcPr>
                <w:p>
                  <w:pPr>
                    <w:spacing w:line="240" w:lineRule="auto"/>
                    <w:ind w:firstLine="0" w:firstLineChars="0"/>
                    <w:jc w:val="center"/>
                    <w:rPr>
                      <w:sz w:val="21"/>
                      <w:szCs w:val="21"/>
                    </w:rPr>
                  </w:pPr>
                </w:p>
              </w:tc>
              <w:tc>
                <w:tcPr>
                  <w:tcW w:w="2275" w:type="dxa"/>
                  <w:vAlign w:val="center"/>
                </w:tcPr>
                <w:p>
                  <w:pPr>
                    <w:spacing w:line="240" w:lineRule="auto"/>
                    <w:ind w:firstLine="0" w:firstLineChars="0"/>
                    <w:jc w:val="center"/>
                    <w:rPr>
                      <w:sz w:val="21"/>
                      <w:szCs w:val="21"/>
                    </w:rPr>
                  </w:pPr>
                  <w:r>
                    <w:rPr>
                      <w:sz w:val="21"/>
                      <w:szCs w:val="21"/>
                    </w:rPr>
                    <w:t>排气筒</w:t>
                  </w:r>
                  <w:r>
                    <w:rPr>
                      <w:rFonts w:hint="eastAsia"/>
                      <w:sz w:val="21"/>
                      <w:szCs w:val="21"/>
                    </w:rPr>
                    <w:t>P2</w:t>
                  </w:r>
                </w:p>
              </w:tc>
              <w:tc>
                <w:tcPr>
                  <w:tcW w:w="1688" w:type="dxa"/>
                  <w:vMerge w:val="continue"/>
                  <w:vAlign w:val="center"/>
                </w:tcPr>
                <w:p>
                  <w:pPr>
                    <w:spacing w:line="240" w:lineRule="auto"/>
                    <w:ind w:firstLine="0" w:firstLineChars="0"/>
                    <w:jc w:val="center"/>
                    <w:rPr>
                      <w:sz w:val="21"/>
                      <w:szCs w:val="21"/>
                    </w:rPr>
                  </w:pPr>
                </w:p>
              </w:tc>
              <w:tc>
                <w:tcPr>
                  <w:tcW w:w="3471" w:type="dxa"/>
                  <w:vMerge w:val="continue"/>
                  <w:vAlign w:val="center"/>
                </w:tcPr>
                <w:p>
                  <w:pPr>
                    <w:tabs>
                      <w:tab w:val="left" w:pos="927"/>
                      <w:tab w:val="center" w:pos="1607"/>
                    </w:tabs>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97" w:type="dxa"/>
                  <w:vMerge w:val="continue"/>
                  <w:vAlign w:val="center"/>
                </w:tcPr>
                <w:p>
                  <w:pPr>
                    <w:spacing w:line="240" w:lineRule="auto"/>
                    <w:ind w:firstLine="0" w:firstLineChars="0"/>
                    <w:jc w:val="center"/>
                    <w:rPr>
                      <w:sz w:val="21"/>
                      <w:szCs w:val="21"/>
                    </w:rPr>
                  </w:pPr>
                </w:p>
              </w:tc>
              <w:tc>
                <w:tcPr>
                  <w:tcW w:w="2275" w:type="dxa"/>
                  <w:vAlign w:val="center"/>
                </w:tcPr>
                <w:p>
                  <w:pPr>
                    <w:spacing w:line="240" w:lineRule="auto"/>
                    <w:ind w:firstLine="0" w:firstLineChars="0"/>
                    <w:jc w:val="center"/>
                    <w:rPr>
                      <w:sz w:val="21"/>
                      <w:szCs w:val="21"/>
                    </w:rPr>
                  </w:pPr>
                  <w:r>
                    <w:rPr>
                      <w:sz w:val="21"/>
                      <w:szCs w:val="21"/>
                    </w:rPr>
                    <w:t>排气筒</w:t>
                  </w:r>
                  <w:r>
                    <w:rPr>
                      <w:rFonts w:hint="eastAsia"/>
                      <w:sz w:val="21"/>
                      <w:szCs w:val="21"/>
                    </w:rPr>
                    <w:t>P</w:t>
                  </w:r>
                  <w:r>
                    <w:rPr>
                      <w:sz w:val="21"/>
                      <w:szCs w:val="21"/>
                    </w:rPr>
                    <w:t>3</w:t>
                  </w:r>
                </w:p>
              </w:tc>
              <w:tc>
                <w:tcPr>
                  <w:tcW w:w="1688" w:type="dxa"/>
                  <w:vMerge w:val="continue"/>
                  <w:vAlign w:val="center"/>
                </w:tcPr>
                <w:p>
                  <w:pPr>
                    <w:spacing w:line="240" w:lineRule="auto"/>
                    <w:ind w:firstLine="0" w:firstLineChars="0"/>
                    <w:jc w:val="center"/>
                    <w:rPr>
                      <w:sz w:val="21"/>
                      <w:szCs w:val="21"/>
                    </w:rPr>
                  </w:pPr>
                </w:p>
              </w:tc>
              <w:tc>
                <w:tcPr>
                  <w:tcW w:w="3471" w:type="dxa"/>
                  <w:vMerge w:val="continue"/>
                  <w:vAlign w:val="center"/>
                </w:tcPr>
                <w:p>
                  <w:pPr>
                    <w:tabs>
                      <w:tab w:val="left" w:pos="927"/>
                      <w:tab w:val="center" w:pos="1607"/>
                    </w:tabs>
                    <w:spacing w:line="240" w:lineRule="auto"/>
                    <w:ind w:firstLine="0" w:firstLineChars="0"/>
                    <w:jc w:val="center"/>
                    <w:rPr>
                      <w:sz w:val="21"/>
                      <w:szCs w:val="21"/>
                    </w:rPr>
                  </w:pPr>
                </w:p>
              </w:tc>
            </w:tr>
          </w:tbl>
          <w:p>
            <w:pPr>
              <w:ind w:firstLine="0" w:firstLineChars="0"/>
              <w:jc w:val="both"/>
              <w:rPr>
                <w:b/>
                <w:szCs w:val="20"/>
              </w:rPr>
            </w:pPr>
            <w:r>
              <w:rPr>
                <w:b/>
                <w:szCs w:val="20"/>
              </w:rPr>
              <w:t>2、水环境影响分析</w:t>
            </w:r>
          </w:p>
          <w:p>
            <w:pPr>
              <w:ind w:firstLine="480"/>
            </w:pPr>
            <w:r>
              <w:t>本项目废水为生活污水。</w:t>
            </w:r>
          </w:p>
          <w:p>
            <w:pPr>
              <w:ind w:firstLine="480"/>
              <w:jc w:val="both"/>
            </w:pPr>
            <w:r>
              <w:rPr>
                <w:bCs/>
              </w:rPr>
              <w:t>本项目预计员工人数为40人，无食宿。经计算可知，按职工生活用水按河南省《工业与城镇生活用水定额》（DB41/T385-2014）中办公用水定额60L/(人·d)计，项目用水量为2.4m</w:t>
            </w:r>
            <w:r>
              <w:rPr>
                <w:bCs/>
                <w:vertAlign w:val="superscript"/>
              </w:rPr>
              <w:t>3</w:t>
            </w:r>
            <w:r>
              <w:rPr>
                <w:bCs/>
              </w:rPr>
              <w:t>/d，720m</w:t>
            </w:r>
            <w:r>
              <w:rPr>
                <w:bCs/>
                <w:vertAlign w:val="superscript"/>
              </w:rPr>
              <w:t>3</w:t>
            </w:r>
            <w:r>
              <w:rPr>
                <w:bCs/>
              </w:rPr>
              <w:t>/a。生活污水排放系数以0.8计，生活污水排放量约为576m</w:t>
            </w:r>
            <w:r>
              <w:rPr>
                <w:bCs/>
                <w:vertAlign w:val="superscript"/>
              </w:rPr>
              <w:t>3</w:t>
            </w:r>
            <w:r>
              <w:rPr>
                <w:bCs/>
              </w:rPr>
              <w:t>/a，主要污染物为COD、BOD</w:t>
            </w:r>
            <w:r>
              <w:rPr>
                <w:bCs/>
                <w:vertAlign w:val="subscript"/>
              </w:rPr>
              <w:t>5</w:t>
            </w:r>
            <w:r>
              <w:rPr>
                <w:bCs/>
              </w:rPr>
              <w:t>、SS、NH</w:t>
            </w:r>
            <w:r>
              <w:rPr>
                <w:bCs/>
                <w:vertAlign w:val="subscript"/>
              </w:rPr>
              <w:t>3</w:t>
            </w:r>
            <w:r>
              <w:rPr>
                <w:bCs/>
              </w:rPr>
              <w:t>-N等。</w:t>
            </w:r>
            <w:r>
              <w:rPr>
                <w:rFonts w:hint="eastAsia"/>
                <w:bCs/>
              </w:rPr>
              <w:t>生活污水</w:t>
            </w:r>
            <w:r>
              <w:rPr>
                <w:bCs/>
              </w:rPr>
              <w:t>排入</w:t>
            </w:r>
            <w:r>
              <w:rPr>
                <w:rFonts w:hint="eastAsia"/>
                <w:bCs/>
              </w:rPr>
              <w:t>园区</w:t>
            </w:r>
            <w:r>
              <w:rPr>
                <w:bCs/>
              </w:rPr>
              <w:t>化粪池，经化粪池处理后</w:t>
            </w:r>
            <w:r>
              <w:rPr>
                <w:rFonts w:hint="eastAsia"/>
                <w:bCs/>
              </w:rPr>
              <w:t>由附近村民拉走肥田。</w:t>
            </w:r>
          </w:p>
          <w:p>
            <w:pPr>
              <w:ind w:firstLine="0" w:firstLineChars="0"/>
              <w:jc w:val="both"/>
              <w:rPr>
                <w:b/>
                <w:szCs w:val="20"/>
              </w:rPr>
            </w:pPr>
            <w:r>
              <w:rPr>
                <w:b/>
                <w:szCs w:val="20"/>
              </w:rPr>
              <w:t>3、固体废物境影响分析</w:t>
            </w:r>
          </w:p>
          <w:p>
            <w:pPr>
              <w:ind w:firstLine="482"/>
              <w:rPr>
                <w:b/>
                <w:u w:val="single"/>
                <w:lang w:bidi="ar"/>
              </w:rPr>
            </w:pPr>
            <w:r>
              <w:rPr>
                <w:b/>
                <w:bCs/>
                <w:u w:val="single"/>
                <w:lang w:bidi="ar"/>
              </w:rPr>
              <w:t>项目运营期产生的固体废物</w:t>
            </w:r>
            <w:r>
              <w:rPr>
                <w:rFonts w:hint="eastAsia"/>
                <w:b/>
                <w:u w:val="single"/>
                <w:lang w:bidi="ar"/>
              </w:rPr>
              <w:t>主要包括一般固废、危险固废和生活垃圾。</w:t>
            </w:r>
          </w:p>
          <w:p>
            <w:pPr>
              <w:ind w:firstLine="480" w:firstLineChars="0"/>
              <w:rPr>
                <w:b/>
                <w:u w:val="single"/>
                <w:lang w:bidi="ar"/>
              </w:rPr>
            </w:pPr>
            <w:r>
              <w:rPr>
                <w:rFonts w:hint="eastAsia"/>
                <w:b/>
                <w:u w:val="single"/>
                <w:lang w:bidi="ar"/>
              </w:rPr>
              <w:t>①</w:t>
            </w:r>
            <w:r>
              <w:rPr>
                <w:b/>
                <w:u w:val="single"/>
                <w:lang w:bidi="ar"/>
              </w:rPr>
              <w:t>一般工业固体废物</w:t>
            </w:r>
          </w:p>
          <w:p>
            <w:pPr>
              <w:ind w:firstLine="482"/>
              <w:rPr>
                <w:b/>
                <w:u w:val="single"/>
                <w:lang w:bidi="ar"/>
              </w:rPr>
            </w:pPr>
            <w:r>
              <w:rPr>
                <w:b/>
                <w:u w:val="single"/>
                <w:lang w:bidi="ar"/>
              </w:rPr>
              <w:t>一般工业</w:t>
            </w:r>
            <w:r>
              <w:rPr>
                <w:rFonts w:hint="eastAsia"/>
                <w:b/>
                <w:u w:val="single"/>
                <w:lang w:bidi="ar"/>
              </w:rPr>
              <w:t>固体</w:t>
            </w:r>
            <w:r>
              <w:rPr>
                <w:b/>
                <w:u w:val="single"/>
                <w:lang w:bidi="ar"/>
              </w:rPr>
              <w:t>废物主要为</w:t>
            </w:r>
            <w:r>
              <w:rPr>
                <w:rFonts w:hint="eastAsia"/>
                <w:b/>
                <w:u w:val="single"/>
                <w:lang w:bidi="ar"/>
              </w:rPr>
              <w:t>切割雕刻工序产生的废边角料、废金属屑以及焊接工序产生的废焊渣</w:t>
            </w:r>
            <w:r>
              <w:rPr>
                <w:b/>
                <w:u w:val="single"/>
                <w:lang w:bidi="ar"/>
              </w:rPr>
              <w:t>。</w:t>
            </w:r>
          </w:p>
          <w:p>
            <w:pPr>
              <w:ind w:firstLine="482"/>
              <w:rPr>
                <w:b/>
                <w:u w:val="single"/>
                <w:lang w:bidi="ar"/>
              </w:rPr>
            </w:pPr>
            <w:r>
              <w:rPr>
                <w:rFonts w:hint="eastAsia"/>
                <w:b/>
                <w:u w:val="single"/>
                <w:lang w:bidi="ar"/>
              </w:rPr>
              <w:t>根据建设单位提供的生产设计资料，废边角料、废金属屑产生量约为2</w:t>
            </w:r>
            <w:r>
              <w:rPr>
                <w:b/>
                <w:u w:val="single"/>
                <w:lang w:bidi="ar"/>
              </w:rPr>
              <w:t>.7t</w:t>
            </w:r>
            <w:r>
              <w:rPr>
                <w:rFonts w:hint="eastAsia"/>
                <w:b/>
                <w:u w:val="single"/>
                <w:lang w:bidi="ar"/>
              </w:rPr>
              <w:t>/a。</w:t>
            </w:r>
          </w:p>
          <w:p>
            <w:pPr>
              <w:ind w:firstLine="482"/>
              <w:rPr>
                <w:b/>
                <w:u w:val="single"/>
                <w:lang w:bidi="ar"/>
              </w:rPr>
            </w:pPr>
            <w:r>
              <w:rPr>
                <w:rFonts w:hint="eastAsia"/>
                <w:b/>
                <w:u w:val="single"/>
                <w:lang w:bidi="ar"/>
              </w:rPr>
              <w:t>废焊渣产生量约为焊材用量的1%，即0.</w:t>
            </w:r>
            <w:r>
              <w:rPr>
                <w:b/>
                <w:u w:val="single"/>
                <w:lang w:bidi="ar"/>
              </w:rPr>
              <w:t>015</w:t>
            </w:r>
            <w:r>
              <w:rPr>
                <w:rFonts w:hint="eastAsia"/>
                <w:b/>
                <w:u w:val="single"/>
                <w:lang w:bidi="ar"/>
              </w:rPr>
              <w:t>t/a。</w:t>
            </w:r>
          </w:p>
          <w:p>
            <w:pPr>
              <w:ind w:firstLine="482"/>
              <w:rPr>
                <w:b/>
                <w:u w:val="single"/>
                <w:lang w:bidi="ar"/>
              </w:rPr>
            </w:pPr>
            <w:r>
              <w:rPr>
                <w:rFonts w:hint="eastAsia"/>
                <w:b/>
                <w:u w:val="single"/>
                <w:lang w:bidi="ar"/>
              </w:rPr>
              <w:t>评价建议在生产车间东北部分别设置20m</w:t>
            </w:r>
            <w:r>
              <w:rPr>
                <w:rFonts w:hint="eastAsia"/>
                <w:b/>
                <w:u w:val="single"/>
                <w:vertAlign w:val="superscript"/>
                <w:lang w:bidi="ar"/>
              </w:rPr>
              <w:t>2</w:t>
            </w:r>
            <w:r>
              <w:rPr>
                <w:rFonts w:hint="eastAsia"/>
                <w:b/>
                <w:u w:val="single"/>
                <w:lang w:bidi="ar"/>
              </w:rPr>
              <w:t>的一般固废暂存区，废边角料、废金属屑和废焊渣经收集后暂存于一般固废暂存区，定期外售。</w:t>
            </w:r>
          </w:p>
          <w:p>
            <w:pPr>
              <w:ind w:firstLine="482"/>
              <w:rPr>
                <w:b/>
                <w:u w:val="single"/>
                <w:lang w:bidi="ar"/>
              </w:rPr>
            </w:pPr>
            <w:r>
              <w:rPr>
                <w:rFonts w:hint="eastAsia"/>
                <w:b/>
                <w:u w:val="single"/>
                <w:lang w:bidi="ar"/>
              </w:rPr>
              <w:t>②危险废物</w:t>
            </w:r>
          </w:p>
          <w:p>
            <w:pPr>
              <w:ind w:firstLine="482"/>
              <w:rPr>
                <w:b/>
                <w:u w:val="single"/>
                <w:lang w:bidi="ar"/>
              </w:rPr>
            </w:pPr>
            <w:r>
              <w:rPr>
                <w:b/>
                <w:u w:val="single"/>
                <w:lang w:bidi="ar"/>
              </w:rPr>
              <w:t>项目产生的危险废物主要为</w:t>
            </w:r>
            <w:r>
              <w:rPr>
                <w:rFonts w:hint="eastAsia"/>
                <w:b/>
                <w:u w:val="single"/>
                <w:lang w:bidi="ar"/>
              </w:rPr>
              <w:t>折弯机、冲压机等设备产生的废液压油和切割机等产生的废切削液。产生量及特性见下表。</w:t>
            </w:r>
          </w:p>
          <w:p>
            <w:pPr>
              <w:pStyle w:val="7"/>
              <w:rPr>
                <w:b/>
                <w:u w:val="single"/>
              </w:rPr>
            </w:pPr>
            <w:r>
              <w:rPr>
                <w:rFonts w:hint="eastAsia"/>
                <w:b/>
                <w:u w:val="single"/>
              </w:rPr>
              <w:t>废气监测内容及频次一览表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654"/>
              <w:gridCol w:w="1430"/>
              <w:gridCol w:w="1196"/>
              <w:gridCol w:w="747"/>
              <w:gridCol w:w="632"/>
              <w:gridCol w:w="702"/>
              <w:gridCol w:w="856"/>
              <w:gridCol w:w="676"/>
              <w:gridCol w:w="697"/>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7"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序号</w:t>
                  </w:r>
                </w:p>
              </w:tc>
              <w:tc>
                <w:tcPr>
                  <w:tcW w:w="379"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危险废物名称</w:t>
                  </w:r>
                </w:p>
              </w:tc>
              <w:tc>
                <w:tcPr>
                  <w:tcW w:w="824"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危险废物类别</w:t>
                  </w:r>
                </w:p>
              </w:tc>
              <w:tc>
                <w:tcPr>
                  <w:tcW w:w="650"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危险废物代码</w:t>
                  </w:r>
                </w:p>
              </w:tc>
              <w:tc>
                <w:tcPr>
                  <w:tcW w:w="432"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产生量</w:t>
                  </w:r>
                </w:p>
              </w:tc>
              <w:tc>
                <w:tcPr>
                  <w:tcW w:w="366"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形态</w:t>
                  </w:r>
                </w:p>
              </w:tc>
              <w:tc>
                <w:tcPr>
                  <w:tcW w:w="406"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主要成分</w:t>
                  </w:r>
                </w:p>
              </w:tc>
              <w:tc>
                <w:tcPr>
                  <w:tcW w:w="494"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有害成分</w:t>
                  </w:r>
                </w:p>
              </w:tc>
              <w:tc>
                <w:tcPr>
                  <w:tcW w:w="391"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产废周期</w:t>
                  </w:r>
                </w:p>
              </w:tc>
              <w:tc>
                <w:tcPr>
                  <w:tcW w:w="403"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危险</w:t>
                  </w:r>
                </w:p>
                <w:p>
                  <w:pPr>
                    <w:topLinePunct/>
                    <w:adjustRightInd w:val="0"/>
                    <w:snapToGrid w:val="0"/>
                    <w:spacing w:line="240" w:lineRule="auto"/>
                    <w:ind w:firstLine="0" w:firstLineChars="0"/>
                    <w:jc w:val="center"/>
                    <w:rPr>
                      <w:b/>
                      <w:sz w:val="21"/>
                      <w:szCs w:val="21"/>
                      <w:u w:val="single"/>
                    </w:rPr>
                  </w:pPr>
                  <w:r>
                    <w:rPr>
                      <w:b/>
                      <w:sz w:val="21"/>
                      <w:szCs w:val="21"/>
                      <w:u w:val="single"/>
                    </w:rPr>
                    <w:t>特性</w:t>
                  </w:r>
                </w:p>
              </w:tc>
              <w:tc>
                <w:tcPr>
                  <w:tcW w:w="388"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1</w:t>
                  </w:r>
                </w:p>
              </w:tc>
              <w:tc>
                <w:tcPr>
                  <w:tcW w:w="379"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废液压油</w:t>
                  </w:r>
                </w:p>
              </w:tc>
              <w:tc>
                <w:tcPr>
                  <w:tcW w:w="824"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HW08废矿物油与含矿物油废物</w:t>
                  </w:r>
                </w:p>
              </w:tc>
              <w:tc>
                <w:tcPr>
                  <w:tcW w:w="650"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900-218-08</w:t>
                  </w:r>
                </w:p>
              </w:tc>
              <w:tc>
                <w:tcPr>
                  <w:tcW w:w="432" w:type="pct"/>
                  <w:vAlign w:val="center"/>
                </w:tcPr>
                <w:p>
                  <w:pPr>
                    <w:pStyle w:val="47"/>
                    <w:adjustRightInd w:val="0"/>
                    <w:snapToGrid w:val="0"/>
                    <w:rPr>
                      <w:b/>
                      <w:highlight w:val="yellow"/>
                      <w:u w:val="single"/>
                    </w:rPr>
                  </w:pPr>
                  <w:r>
                    <w:rPr>
                      <w:rFonts w:hint="eastAsia"/>
                      <w:b/>
                      <w:u w:val="single"/>
                    </w:rPr>
                    <w:t>0.4</w:t>
                  </w:r>
                  <w:r>
                    <w:rPr>
                      <w:b/>
                      <w:u w:val="single"/>
                    </w:rPr>
                    <w:t>t/a</w:t>
                  </w:r>
                </w:p>
              </w:tc>
              <w:tc>
                <w:tcPr>
                  <w:tcW w:w="366"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液态</w:t>
                  </w:r>
                </w:p>
              </w:tc>
              <w:tc>
                <w:tcPr>
                  <w:tcW w:w="406"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w:t>
                  </w:r>
                </w:p>
              </w:tc>
              <w:tc>
                <w:tcPr>
                  <w:tcW w:w="494"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有机污染物</w:t>
                  </w:r>
                </w:p>
              </w:tc>
              <w:tc>
                <w:tcPr>
                  <w:tcW w:w="391"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1年</w:t>
                  </w:r>
                </w:p>
              </w:tc>
              <w:tc>
                <w:tcPr>
                  <w:tcW w:w="403"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T</w:t>
                  </w:r>
                  <w:r>
                    <w:rPr>
                      <w:rFonts w:hint="eastAsia"/>
                      <w:b/>
                      <w:sz w:val="21"/>
                      <w:szCs w:val="21"/>
                      <w:u w:val="single"/>
                    </w:rPr>
                    <w:t>，I</w:t>
                  </w:r>
                </w:p>
              </w:tc>
              <w:tc>
                <w:tcPr>
                  <w:tcW w:w="388" w:type="pct"/>
                  <w:vMerge w:val="restar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暂存后定期由资质单位处置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2</w:t>
                  </w:r>
                </w:p>
              </w:tc>
              <w:tc>
                <w:tcPr>
                  <w:tcW w:w="379"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废切削液</w:t>
                  </w:r>
                </w:p>
              </w:tc>
              <w:tc>
                <w:tcPr>
                  <w:tcW w:w="824"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HW09油</w:t>
                  </w:r>
                </w:p>
                <w:p>
                  <w:pPr>
                    <w:topLinePunct/>
                    <w:adjustRightInd w:val="0"/>
                    <w:snapToGrid w:val="0"/>
                    <w:spacing w:line="240" w:lineRule="auto"/>
                    <w:ind w:firstLine="0" w:firstLineChars="0"/>
                    <w:jc w:val="center"/>
                    <w:rPr>
                      <w:b/>
                      <w:sz w:val="21"/>
                      <w:szCs w:val="21"/>
                      <w:u w:val="single"/>
                    </w:rPr>
                  </w:pPr>
                  <w:r>
                    <w:rPr>
                      <w:rFonts w:hint="eastAsia"/>
                      <w:b/>
                      <w:sz w:val="21"/>
                      <w:szCs w:val="21"/>
                      <w:u w:val="single"/>
                    </w:rPr>
                    <w:t>水、烃水混合物或乳化液</w:t>
                  </w:r>
                </w:p>
              </w:tc>
              <w:tc>
                <w:tcPr>
                  <w:tcW w:w="650"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900-006-09</w:t>
                  </w:r>
                </w:p>
              </w:tc>
              <w:tc>
                <w:tcPr>
                  <w:tcW w:w="432" w:type="pct"/>
                  <w:vAlign w:val="center"/>
                </w:tcPr>
                <w:p>
                  <w:pPr>
                    <w:pStyle w:val="47"/>
                    <w:adjustRightInd w:val="0"/>
                    <w:snapToGrid w:val="0"/>
                    <w:rPr>
                      <w:b/>
                      <w:highlight w:val="yellow"/>
                      <w:u w:val="single"/>
                    </w:rPr>
                  </w:pPr>
                  <w:r>
                    <w:rPr>
                      <w:rFonts w:hint="eastAsia"/>
                      <w:b/>
                      <w:u w:val="single"/>
                    </w:rPr>
                    <w:t>0.5</w:t>
                  </w:r>
                  <w:r>
                    <w:rPr>
                      <w:b/>
                      <w:u w:val="single"/>
                    </w:rPr>
                    <w:t>t/a</w:t>
                  </w:r>
                </w:p>
              </w:tc>
              <w:tc>
                <w:tcPr>
                  <w:tcW w:w="366"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液态</w:t>
                  </w:r>
                </w:p>
              </w:tc>
              <w:tc>
                <w:tcPr>
                  <w:tcW w:w="406"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w:t>
                  </w:r>
                </w:p>
              </w:tc>
              <w:tc>
                <w:tcPr>
                  <w:tcW w:w="494"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有机污染物</w:t>
                  </w:r>
                </w:p>
              </w:tc>
              <w:tc>
                <w:tcPr>
                  <w:tcW w:w="391" w:type="pct"/>
                  <w:vAlign w:val="center"/>
                </w:tcPr>
                <w:p>
                  <w:pPr>
                    <w:topLinePunct/>
                    <w:adjustRightInd w:val="0"/>
                    <w:snapToGrid w:val="0"/>
                    <w:spacing w:line="240" w:lineRule="auto"/>
                    <w:ind w:firstLine="0" w:firstLineChars="0"/>
                    <w:jc w:val="center"/>
                    <w:rPr>
                      <w:b/>
                      <w:sz w:val="21"/>
                      <w:szCs w:val="21"/>
                      <w:u w:val="single"/>
                    </w:rPr>
                  </w:pPr>
                  <w:r>
                    <w:rPr>
                      <w:rFonts w:hint="eastAsia"/>
                      <w:b/>
                      <w:sz w:val="21"/>
                      <w:szCs w:val="21"/>
                      <w:u w:val="single"/>
                    </w:rPr>
                    <w:t>3个月</w:t>
                  </w:r>
                </w:p>
              </w:tc>
              <w:tc>
                <w:tcPr>
                  <w:tcW w:w="403" w:type="pct"/>
                  <w:vAlign w:val="center"/>
                </w:tcPr>
                <w:p>
                  <w:pPr>
                    <w:topLinePunct/>
                    <w:adjustRightInd w:val="0"/>
                    <w:snapToGrid w:val="0"/>
                    <w:spacing w:line="240" w:lineRule="auto"/>
                    <w:ind w:firstLine="0" w:firstLineChars="0"/>
                    <w:jc w:val="center"/>
                    <w:rPr>
                      <w:b/>
                      <w:sz w:val="21"/>
                      <w:szCs w:val="21"/>
                      <w:u w:val="single"/>
                    </w:rPr>
                  </w:pPr>
                  <w:r>
                    <w:rPr>
                      <w:b/>
                      <w:sz w:val="21"/>
                      <w:szCs w:val="21"/>
                      <w:u w:val="single"/>
                    </w:rPr>
                    <w:t>T</w:t>
                  </w:r>
                </w:p>
              </w:tc>
              <w:tc>
                <w:tcPr>
                  <w:tcW w:w="388" w:type="pct"/>
                  <w:vMerge w:val="continue"/>
                  <w:vAlign w:val="center"/>
                </w:tcPr>
                <w:p>
                  <w:pPr>
                    <w:topLinePunct/>
                    <w:adjustRightInd w:val="0"/>
                    <w:snapToGrid w:val="0"/>
                    <w:spacing w:line="240" w:lineRule="auto"/>
                    <w:ind w:firstLine="0" w:firstLineChars="0"/>
                    <w:jc w:val="center"/>
                    <w:rPr>
                      <w:b/>
                      <w:sz w:val="21"/>
                      <w:szCs w:val="21"/>
                      <w:u w:val="single"/>
                    </w:rPr>
                  </w:pPr>
                </w:p>
              </w:tc>
            </w:tr>
          </w:tbl>
          <w:p>
            <w:pPr>
              <w:ind w:firstLine="482"/>
              <w:rPr>
                <w:b/>
                <w:u w:val="single"/>
                <w:lang w:bidi="ar"/>
              </w:rPr>
            </w:pPr>
            <w:r>
              <w:rPr>
                <w:b/>
                <w:u w:val="single"/>
                <w:lang w:bidi="ar"/>
              </w:rPr>
              <w:t>危险废物均在厂区危废暂存间内临时储存后，定期交由有危废处理资质的单位进行处理。为防止危险废物在存放过程中出现二次污染，企业在车间内设置危险废物暂存间。</w:t>
            </w:r>
          </w:p>
          <w:p>
            <w:pPr>
              <w:ind w:firstLine="482"/>
              <w:rPr>
                <w:b/>
                <w:u w:val="single"/>
                <w:lang w:bidi="ar"/>
              </w:rPr>
            </w:pPr>
            <w:r>
              <w:rPr>
                <w:rFonts w:hint="eastAsia" w:ascii="宋体" w:hAnsi="宋体" w:cs="宋体"/>
                <w:b/>
                <w:u w:val="single"/>
                <w:lang w:bidi="ar"/>
              </w:rPr>
              <w:t>①</w:t>
            </w:r>
            <w:r>
              <w:rPr>
                <w:b/>
                <w:u w:val="single"/>
                <w:lang w:bidi="ar"/>
              </w:rPr>
              <w:t>危废暂存间选址合理性分析</w:t>
            </w:r>
          </w:p>
          <w:p>
            <w:pPr>
              <w:ind w:firstLine="482"/>
              <w:rPr>
                <w:b/>
                <w:u w:val="single"/>
                <w:lang w:bidi="ar"/>
              </w:rPr>
            </w:pPr>
            <w:r>
              <w:rPr>
                <w:b/>
                <w:u w:val="single"/>
                <w:lang w:bidi="ar"/>
              </w:rPr>
              <w:t>《危险废物贮存污染控制标准》（GB 18597-2001）标准对危险废物暂存选址提出了详细的要求，本项目选址的相符性分析具体如下：</w:t>
            </w:r>
          </w:p>
          <w:p>
            <w:pPr>
              <w:ind w:firstLine="482"/>
              <w:rPr>
                <w:b/>
                <w:u w:val="single"/>
                <w:lang w:bidi="ar"/>
              </w:rPr>
            </w:pPr>
            <w:r>
              <w:rPr>
                <w:b/>
                <w:u w:val="single"/>
                <w:lang w:bidi="ar"/>
              </w:rPr>
              <w:t>a、地质结构稳定，地震烈度不超过7度的区域内。</w:t>
            </w:r>
          </w:p>
          <w:p>
            <w:pPr>
              <w:ind w:firstLine="482"/>
              <w:rPr>
                <w:b/>
                <w:u w:val="single"/>
                <w:lang w:bidi="ar"/>
              </w:rPr>
            </w:pPr>
            <w:r>
              <w:rPr>
                <w:b/>
                <w:u w:val="single"/>
                <w:lang w:bidi="ar"/>
              </w:rPr>
              <w:t>b、设施底部必须高于地下水最高水位。</w:t>
            </w:r>
          </w:p>
          <w:p>
            <w:pPr>
              <w:ind w:firstLine="482"/>
              <w:rPr>
                <w:b/>
                <w:u w:val="single"/>
                <w:lang w:bidi="ar"/>
              </w:rPr>
            </w:pPr>
            <w:r>
              <w:rPr>
                <w:b/>
                <w:u w:val="single"/>
                <w:lang w:bidi="ar"/>
              </w:rPr>
              <w:t>c、应避免建在溶洞区或易遭受严重自然灾害如洪水、滑坡、泥石流、潮汐等影响的区域。</w:t>
            </w:r>
          </w:p>
          <w:p>
            <w:pPr>
              <w:ind w:firstLine="482"/>
              <w:rPr>
                <w:b/>
                <w:u w:val="single"/>
                <w:lang w:bidi="ar"/>
              </w:rPr>
            </w:pPr>
            <w:r>
              <w:rPr>
                <w:b/>
                <w:u w:val="single"/>
                <w:lang w:bidi="ar"/>
              </w:rPr>
              <w:t>d、应建在易燃易爆等危险品仓库、高压输电线路防护区域以外。</w:t>
            </w:r>
          </w:p>
          <w:p>
            <w:pPr>
              <w:ind w:firstLine="482"/>
              <w:rPr>
                <w:b/>
                <w:u w:val="single"/>
                <w:lang w:bidi="ar"/>
              </w:rPr>
            </w:pPr>
            <w:r>
              <w:rPr>
                <w:b/>
                <w:u w:val="single"/>
                <w:lang w:bidi="ar"/>
              </w:rPr>
              <w:t>e、应位于居民中心区常年最大风频的下风向。</w:t>
            </w:r>
          </w:p>
          <w:p>
            <w:pPr>
              <w:ind w:firstLine="482"/>
              <w:rPr>
                <w:b/>
                <w:u w:val="single"/>
                <w:lang w:bidi="ar"/>
              </w:rPr>
            </w:pPr>
            <w:r>
              <w:rPr>
                <w:b/>
                <w:u w:val="single"/>
                <w:lang w:bidi="ar"/>
              </w:rPr>
              <w:t>本项目选址高于地下水最高水位，未建设在溶洞区或易遭受严重自然灾害的区域，项目选址不在易燃易爆等危险品仓库、高压输电线路防护区域之内。</w:t>
            </w:r>
          </w:p>
          <w:p>
            <w:pPr>
              <w:ind w:firstLine="482"/>
              <w:rPr>
                <w:b/>
                <w:u w:val="single"/>
                <w:lang w:bidi="ar"/>
              </w:rPr>
            </w:pPr>
            <w:r>
              <w:rPr>
                <w:rFonts w:hint="eastAsia" w:ascii="宋体" w:hAnsi="宋体" w:cs="宋体"/>
                <w:b/>
                <w:u w:val="single"/>
                <w:lang w:bidi="ar"/>
              </w:rPr>
              <w:t>②</w:t>
            </w:r>
            <w:r>
              <w:rPr>
                <w:b/>
                <w:u w:val="single"/>
                <w:lang w:bidi="ar"/>
              </w:rPr>
              <w:t>危废暂存间贮存能力分析</w:t>
            </w:r>
          </w:p>
          <w:p>
            <w:pPr>
              <w:ind w:firstLine="482"/>
              <w:rPr>
                <w:b/>
                <w:u w:val="single"/>
                <w:lang w:bidi="ar"/>
              </w:rPr>
            </w:pPr>
            <w:r>
              <w:rPr>
                <w:b/>
                <w:u w:val="single"/>
                <w:lang w:bidi="ar"/>
              </w:rPr>
              <w:t>本项目</w:t>
            </w:r>
            <w:r>
              <w:rPr>
                <w:rFonts w:hint="eastAsia"/>
                <w:b/>
                <w:u w:val="single"/>
                <w:lang w:bidi="ar"/>
              </w:rPr>
              <w:t>及现有项目</w:t>
            </w:r>
            <w:r>
              <w:rPr>
                <w:b/>
                <w:u w:val="single"/>
                <w:lang w:bidi="ar"/>
              </w:rPr>
              <w:t>需要在危险废物暂存处内储存的主要为</w:t>
            </w:r>
            <w:r>
              <w:rPr>
                <w:rFonts w:hint="eastAsia"/>
                <w:b/>
                <w:u w:val="single"/>
                <w:lang w:bidi="ar"/>
              </w:rPr>
              <w:t>废液压油和废切削液</w:t>
            </w:r>
            <w:r>
              <w:rPr>
                <w:b/>
                <w:u w:val="single"/>
                <w:lang w:bidi="ar"/>
              </w:rPr>
              <w:t>，约需要</w:t>
            </w:r>
            <w:r>
              <w:rPr>
                <w:rFonts w:hint="eastAsia"/>
                <w:b/>
                <w:u w:val="single"/>
                <w:lang w:bidi="ar"/>
              </w:rPr>
              <w:t>2</w:t>
            </w:r>
            <w:r>
              <w:rPr>
                <w:b/>
                <w:u w:val="single"/>
                <w:lang w:bidi="ar"/>
              </w:rPr>
              <w:t>m</w:t>
            </w:r>
            <w:r>
              <w:rPr>
                <w:b/>
                <w:u w:val="single"/>
                <w:vertAlign w:val="superscript"/>
                <w:lang w:bidi="ar"/>
              </w:rPr>
              <w:t>3</w:t>
            </w:r>
            <w:r>
              <w:rPr>
                <w:b/>
                <w:u w:val="single"/>
                <w:lang w:bidi="ar"/>
              </w:rPr>
              <w:t>的储存空间，</w:t>
            </w:r>
            <w:r>
              <w:rPr>
                <w:rFonts w:hint="eastAsia"/>
                <w:b/>
                <w:u w:val="single"/>
                <w:lang w:bidi="ar"/>
              </w:rPr>
              <w:t>评价建议</w:t>
            </w:r>
            <w:r>
              <w:rPr>
                <w:b/>
                <w:u w:val="single"/>
                <w:lang w:bidi="ar"/>
              </w:rPr>
              <w:t>设置一个</w:t>
            </w:r>
            <w:r>
              <w:rPr>
                <w:rFonts w:hint="eastAsia"/>
                <w:b/>
                <w:u w:val="single"/>
                <w:lang w:bidi="ar"/>
              </w:rPr>
              <w:t>5</w:t>
            </w:r>
            <w:r>
              <w:rPr>
                <w:b/>
                <w:u w:val="single"/>
                <w:lang w:bidi="ar"/>
              </w:rPr>
              <w:t>m</w:t>
            </w:r>
            <w:r>
              <w:rPr>
                <w:rFonts w:hint="eastAsia"/>
                <w:b/>
                <w:u w:val="single"/>
                <w:vertAlign w:val="superscript"/>
                <w:lang w:bidi="ar"/>
              </w:rPr>
              <w:t>2</w:t>
            </w:r>
            <w:r>
              <w:rPr>
                <w:b/>
                <w:u w:val="single"/>
                <w:lang w:bidi="ar"/>
              </w:rPr>
              <w:t>的危废暂存</w:t>
            </w:r>
            <w:r>
              <w:rPr>
                <w:rFonts w:hint="eastAsia"/>
                <w:b/>
                <w:u w:val="single"/>
                <w:lang w:bidi="ar"/>
              </w:rPr>
              <w:t>间</w:t>
            </w:r>
            <w:r>
              <w:rPr>
                <w:b/>
                <w:u w:val="single"/>
                <w:lang w:bidi="ar"/>
              </w:rPr>
              <w:t>，符合</w:t>
            </w:r>
            <w:r>
              <w:rPr>
                <w:rFonts w:hint="eastAsia"/>
                <w:b/>
                <w:u w:val="single"/>
                <w:lang w:bidi="ar"/>
              </w:rPr>
              <w:t>全厂</w:t>
            </w:r>
            <w:r>
              <w:rPr>
                <w:b/>
                <w:u w:val="single"/>
                <w:lang w:bidi="ar"/>
              </w:rPr>
              <w:t>危险废物暂存需要。</w:t>
            </w:r>
          </w:p>
          <w:p>
            <w:pPr>
              <w:ind w:firstLine="482"/>
              <w:rPr>
                <w:b/>
                <w:u w:val="single"/>
                <w:lang w:bidi="ar"/>
              </w:rPr>
            </w:pPr>
            <w:r>
              <w:rPr>
                <w:rFonts w:hint="eastAsia" w:ascii="宋体" w:hAnsi="宋体" w:cs="宋体"/>
                <w:b/>
                <w:u w:val="single"/>
                <w:lang w:bidi="ar"/>
              </w:rPr>
              <w:t>③</w:t>
            </w:r>
            <w:r>
              <w:rPr>
                <w:b/>
                <w:u w:val="single"/>
                <w:lang w:bidi="ar"/>
              </w:rPr>
              <w:t>危险废物暂存过程中对外环境的影响</w:t>
            </w:r>
          </w:p>
          <w:p>
            <w:pPr>
              <w:ind w:firstLine="482"/>
              <w:rPr>
                <w:b/>
                <w:u w:val="single"/>
                <w:lang w:bidi="ar"/>
              </w:rPr>
            </w:pPr>
            <w:r>
              <w:rPr>
                <w:b/>
                <w:u w:val="single"/>
                <w:lang w:bidi="ar"/>
              </w:rPr>
              <w:t>本项目产生的</w:t>
            </w:r>
            <w:r>
              <w:rPr>
                <w:rFonts w:hint="eastAsia"/>
                <w:b/>
                <w:u w:val="single"/>
                <w:lang w:bidi="ar"/>
              </w:rPr>
              <w:t>废液压油、废切削液均为液态，收集于密闭桶中，</w:t>
            </w:r>
            <w:r>
              <w:rPr>
                <w:b/>
                <w:u w:val="single"/>
                <w:lang w:bidi="ar"/>
              </w:rPr>
              <w:t>对外环境基本无影响。</w:t>
            </w:r>
          </w:p>
          <w:p>
            <w:pPr>
              <w:adjustRightInd w:val="0"/>
              <w:snapToGrid w:val="0"/>
              <w:ind w:firstLine="482"/>
              <w:rPr>
                <w:b/>
                <w:u w:val="single"/>
              </w:rPr>
            </w:pPr>
            <w:r>
              <w:rPr>
                <w:b/>
                <w:u w:val="single"/>
              </w:rPr>
              <w:t>危废暂存间基本情况见表。</w:t>
            </w:r>
          </w:p>
          <w:p>
            <w:pPr>
              <w:pStyle w:val="7"/>
              <w:rPr>
                <w:b/>
                <w:u w:val="single"/>
              </w:rPr>
            </w:pPr>
            <w:r>
              <w:rPr>
                <w:b/>
                <w:u w:val="single"/>
              </w:rPr>
              <w:t>危废暂存间基本情况一览表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081"/>
              <w:gridCol w:w="1882"/>
              <w:gridCol w:w="1293"/>
              <w:gridCol w:w="829"/>
              <w:gridCol w:w="691"/>
              <w:gridCol w:w="689"/>
              <w:gridCol w:w="700"/>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1"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贮存场所名称</w:t>
                  </w:r>
                </w:p>
              </w:tc>
              <w:tc>
                <w:tcPr>
                  <w:tcW w:w="620"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危险废物名称</w:t>
                  </w:r>
                </w:p>
              </w:tc>
              <w:tc>
                <w:tcPr>
                  <w:tcW w:w="1079"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危险废物类别</w:t>
                  </w:r>
                </w:p>
              </w:tc>
              <w:tc>
                <w:tcPr>
                  <w:tcW w:w="741"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危险废物代码</w:t>
                  </w:r>
                </w:p>
              </w:tc>
              <w:tc>
                <w:tcPr>
                  <w:tcW w:w="475"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位置</w:t>
                  </w:r>
                </w:p>
              </w:tc>
              <w:tc>
                <w:tcPr>
                  <w:tcW w:w="396"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占地面积</w:t>
                  </w:r>
                </w:p>
              </w:tc>
              <w:tc>
                <w:tcPr>
                  <w:tcW w:w="395"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贮存方式</w:t>
                  </w:r>
                </w:p>
              </w:tc>
              <w:tc>
                <w:tcPr>
                  <w:tcW w:w="401"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贮存能力</w:t>
                  </w:r>
                </w:p>
              </w:tc>
              <w:tc>
                <w:tcPr>
                  <w:tcW w:w="411" w:type="pc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1" w:type="pct"/>
                  <w:vMerge w:val="restart"/>
                  <w:vAlign w:val="center"/>
                </w:tcPr>
                <w:p>
                  <w:pPr>
                    <w:topLinePunct/>
                    <w:adjustRightInd w:val="0"/>
                    <w:snapToGrid w:val="0"/>
                    <w:spacing w:line="240" w:lineRule="auto"/>
                    <w:ind w:firstLine="0" w:firstLineChars="0"/>
                    <w:jc w:val="center"/>
                    <w:rPr>
                      <w:b/>
                      <w:kern w:val="0"/>
                      <w:sz w:val="21"/>
                      <w:szCs w:val="21"/>
                      <w:u w:val="single"/>
                    </w:rPr>
                  </w:pPr>
                  <w:r>
                    <w:rPr>
                      <w:b/>
                      <w:kern w:val="0"/>
                      <w:sz w:val="21"/>
                      <w:szCs w:val="21"/>
                      <w:u w:val="single"/>
                    </w:rPr>
                    <w:t>危废暂存间</w:t>
                  </w:r>
                </w:p>
              </w:tc>
              <w:tc>
                <w:tcPr>
                  <w:tcW w:w="620"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废液压油</w:t>
                  </w:r>
                </w:p>
              </w:tc>
              <w:tc>
                <w:tcPr>
                  <w:tcW w:w="1079"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sz w:val="21"/>
                      <w:szCs w:val="21"/>
                      <w:u w:val="single"/>
                    </w:rPr>
                    <w:t>HW08废矿物油与含矿物油废物</w:t>
                  </w:r>
                </w:p>
              </w:tc>
              <w:tc>
                <w:tcPr>
                  <w:tcW w:w="741"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900-218-08</w:t>
                  </w:r>
                </w:p>
              </w:tc>
              <w:tc>
                <w:tcPr>
                  <w:tcW w:w="475" w:type="pct"/>
                  <w:vMerge w:val="restart"/>
                  <w:vAlign w:val="center"/>
                </w:tcPr>
                <w:p>
                  <w:pPr>
                    <w:topLinePunct/>
                    <w:adjustRightInd w:val="0"/>
                    <w:snapToGrid w:val="0"/>
                    <w:spacing w:line="240" w:lineRule="auto"/>
                    <w:ind w:firstLine="0" w:firstLineChars="0"/>
                    <w:rPr>
                      <w:b/>
                      <w:kern w:val="0"/>
                      <w:sz w:val="21"/>
                      <w:szCs w:val="21"/>
                      <w:u w:val="single"/>
                    </w:rPr>
                  </w:pPr>
                  <w:r>
                    <w:rPr>
                      <w:rFonts w:hint="eastAsia"/>
                      <w:b/>
                      <w:kern w:val="0"/>
                      <w:sz w:val="21"/>
                      <w:szCs w:val="21"/>
                      <w:u w:val="single"/>
                    </w:rPr>
                    <w:t>生产车间东北部</w:t>
                  </w:r>
                </w:p>
              </w:tc>
              <w:tc>
                <w:tcPr>
                  <w:tcW w:w="396" w:type="pct"/>
                  <w:vMerge w:val="restar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5m</w:t>
                  </w:r>
                  <w:r>
                    <w:rPr>
                      <w:rFonts w:hint="eastAsia"/>
                      <w:b/>
                      <w:kern w:val="0"/>
                      <w:sz w:val="21"/>
                      <w:szCs w:val="21"/>
                      <w:u w:val="single"/>
                      <w:vertAlign w:val="superscript"/>
                    </w:rPr>
                    <w:t>2</w:t>
                  </w:r>
                </w:p>
              </w:tc>
              <w:tc>
                <w:tcPr>
                  <w:tcW w:w="395"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桶装</w:t>
                  </w:r>
                </w:p>
              </w:tc>
              <w:tc>
                <w:tcPr>
                  <w:tcW w:w="401"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1t</w:t>
                  </w:r>
                </w:p>
              </w:tc>
              <w:tc>
                <w:tcPr>
                  <w:tcW w:w="411" w:type="pct"/>
                  <w:vMerge w:val="restar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1" w:type="pct"/>
                  <w:vMerge w:val="continue"/>
                  <w:vAlign w:val="center"/>
                </w:tcPr>
                <w:p>
                  <w:pPr>
                    <w:topLinePunct/>
                    <w:adjustRightInd w:val="0"/>
                    <w:snapToGrid w:val="0"/>
                    <w:spacing w:line="240" w:lineRule="auto"/>
                    <w:ind w:firstLine="0" w:firstLineChars="0"/>
                    <w:jc w:val="center"/>
                    <w:rPr>
                      <w:b/>
                      <w:kern w:val="0"/>
                      <w:sz w:val="21"/>
                      <w:szCs w:val="21"/>
                      <w:u w:val="single"/>
                    </w:rPr>
                  </w:pPr>
                </w:p>
              </w:tc>
              <w:tc>
                <w:tcPr>
                  <w:tcW w:w="620"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sz w:val="21"/>
                      <w:szCs w:val="21"/>
                      <w:u w:val="single"/>
                    </w:rPr>
                    <w:t>废切削液</w:t>
                  </w:r>
                </w:p>
              </w:tc>
              <w:tc>
                <w:tcPr>
                  <w:tcW w:w="1079"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sz w:val="21"/>
                      <w:szCs w:val="21"/>
                      <w:u w:val="single"/>
                    </w:rPr>
                    <w:t>HW09油/水、烃/水混合物或乳化液</w:t>
                  </w:r>
                </w:p>
              </w:tc>
              <w:tc>
                <w:tcPr>
                  <w:tcW w:w="741"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900-006-09</w:t>
                  </w:r>
                </w:p>
              </w:tc>
              <w:tc>
                <w:tcPr>
                  <w:tcW w:w="475" w:type="pct"/>
                  <w:vMerge w:val="continue"/>
                  <w:vAlign w:val="center"/>
                </w:tcPr>
                <w:p>
                  <w:pPr>
                    <w:topLinePunct/>
                    <w:adjustRightInd w:val="0"/>
                    <w:snapToGrid w:val="0"/>
                    <w:spacing w:line="240" w:lineRule="auto"/>
                    <w:ind w:firstLine="0" w:firstLineChars="0"/>
                    <w:jc w:val="center"/>
                    <w:rPr>
                      <w:b/>
                      <w:kern w:val="0"/>
                      <w:sz w:val="21"/>
                      <w:szCs w:val="21"/>
                      <w:u w:val="single"/>
                    </w:rPr>
                  </w:pPr>
                </w:p>
              </w:tc>
              <w:tc>
                <w:tcPr>
                  <w:tcW w:w="396" w:type="pct"/>
                  <w:vMerge w:val="continue"/>
                  <w:vAlign w:val="center"/>
                </w:tcPr>
                <w:p>
                  <w:pPr>
                    <w:topLinePunct/>
                    <w:adjustRightInd w:val="0"/>
                    <w:snapToGrid w:val="0"/>
                    <w:spacing w:line="240" w:lineRule="auto"/>
                    <w:ind w:firstLine="0" w:firstLineChars="0"/>
                    <w:jc w:val="center"/>
                    <w:rPr>
                      <w:b/>
                      <w:kern w:val="0"/>
                      <w:sz w:val="21"/>
                      <w:szCs w:val="21"/>
                      <w:u w:val="single"/>
                    </w:rPr>
                  </w:pPr>
                </w:p>
              </w:tc>
              <w:tc>
                <w:tcPr>
                  <w:tcW w:w="395"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袋</w:t>
                  </w:r>
                  <w:r>
                    <w:rPr>
                      <w:b/>
                      <w:kern w:val="0"/>
                      <w:sz w:val="21"/>
                      <w:szCs w:val="21"/>
                      <w:u w:val="single"/>
                    </w:rPr>
                    <w:t>装</w:t>
                  </w:r>
                </w:p>
              </w:tc>
              <w:tc>
                <w:tcPr>
                  <w:tcW w:w="401" w:type="pct"/>
                  <w:vAlign w:val="center"/>
                </w:tcPr>
                <w:p>
                  <w:pPr>
                    <w:topLinePunct/>
                    <w:adjustRightInd w:val="0"/>
                    <w:snapToGrid w:val="0"/>
                    <w:spacing w:line="240" w:lineRule="auto"/>
                    <w:ind w:firstLine="0" w:firstLineChars="0"/>
                    <w:jc w:val="center"/>
                    <w:rPr>
                      <w:b/>
                      <w:kern w:val="0"/>
                      <w:sz w:val="21"/>
                      <w:szCs w:val="21"/>
                      <w:u w:val="single"/>
                    </w:rPr>
                  </w:pPr>
                  <w:r>
                    <w:rPr>
                      <w:rFonts w:hint="eastAsia"/>
                      <w:b/>
                      <w:kern w:val="0"/>
                      <w:sz w:val="21"/>
                      <w:szCs w:val="21"/>
                      <w:u w:val="single"/>
                    </w:rPr>
                    <w:t>1 t</w:t>
                  </w:r>
                </w:p>
              </w:tc>
              <w:tc>
                <w:tcPr>
                  <w:tcW w:w="411" w:type="pct"/>
                  <w:vMerge w:val="continue"/>
                  <w:vAlign w:val="center"/>
                </w:tcPr>
                <w:p>
                  <w:pPr>
                    <w:topLinePunct/>
                    <w:adjustRightInd w:val="0"/>
                    <w:snapToGrid w:val="0"/>
                    <w:spacing w:line="240" w:lineRule="auto"/>
                    <w:ind w:firstLine="0" w:firstLineChars="0"/>
                    <w:jc w:val="center"/>
                    <w:rPr>
                      <w:b/>
                      <w:kern w:val="0"/>
                      <w:sz w:val="21"/>
                      <w:szCs w:val="21"/>
                      <w:u w:val="single"/>
                    </w:rPr>
                  </w:pPr>
                </w:p>
              </w:tc>
            </w:tr>
          </w:tbl>
          <w:p>
            <w:pPr>
              <w:ind w:firstLine="482"/>
              <w:rPr>
                <w:rFonts w:ascii="宋体" w:hAnsi="宋体" w:cs="宋体"/>
                <w:b/>
                <w:u w:val="single"/>
                <w:lang w:bidi="ar"/>
              </w:rPr>
            </w:pPr>
            <w:r>
              <w:rPr>
                <w:rFonts w:ascii="宋体" w:hAnsi="宋体" w:cs="宋体"/>
                <w:b/>
                <w:u w:val="single"/>
                <w:lang w:bidi="ar"/>
              </w:rPr>
              <w:t>同时，根据《危险废物贮存污染控制标准》（GB18597－2001），评价对本工程危险废物贮存设施、转移管理提出如下要求：</w:t>
            </w:r>
          </w:p>
          <w:p>
            <w:pPr>
              <w:ind w:firstLine="482"/>
              <w:rPr>
                <w:rFonts w:ascii="宋体" w:hAnsi="宋体" w:cs="宋体"/>
                <w:b/>
                <w:u w:val="single"/>
                <w:lang w:bidi="ar"/>
              </w:rPr>
            </w:pPr>
            <w:r>
              <w:rPr>
                <w:rFonts w:hint="eastAsia" w:ascii="宋体" w:hAnsi="宋体" w:cs="宋体"/>
                <w:b/>
                <w:u w:val="single"/>
                <w:lang w:bidi="ar"/>
              </w:rPr>
              <w:t>①</w:t>
            </w:r>
            <w:r>
              <w:rPr>
                <w:rFonts w:ascii="宋体" w:hAnsi="宋体" w:cs="宋体"/>
                <w:b/>
                <w:u w:val="single"/>
                <w:lang w:bidi="ar"/>
              </w:rPr>
              <w:t>贮存设施（危废暂存库）的设计要求</w:t>
            </w:r>
          </w:p>
          <w:p>
            <w:pPr>
              <w:ind w:firstLine="482"/>
              <w:rPr>
                <w:rFonts w:ascii="宋体" w:hAnsi="宋体" w:cs="宋体"/>
                <w:b/>
                <w:u w:val="single"/>
                <w:lang w:bidi="ar"/>
              </w:rPr>
            </w:pPr>
            <w:r>
              <w:rPr>
                <w:rFonts w:ascii="宋体" w:hAnsi="宋体" w:cs="宋体"/>
                <w:b/>
                <w:u w:val="single"/>
                <w:lang w:bidi="ar"/>
              </w:rPr>
              <w:t>a地面与裙脚要用用坚固、防渗的材料建造，建筑材料必须与危险废物相容；</w:t>
            </w:r>
          </w:p>
          <w:p>
            <w:pPr>
              <w:ind w:firstLine="482"/>
              <w:rPr>
                <w:rFonts w:ascii="宋体" w:hAnsi="宋体" w:cs="宋体"/>
                <w:b/>
                <w:u w:val="single"/>
                <w:lang w:bidi="ar"/>
              </w:rPr>
            </w:pPr>
            <w:r>
              <w:rPr>
                <w:rFonts w:ascii="宋体" w:hAnsi="宋体" w:cs="宋体"/>
                <w:b/>
                <w:u w:val="single"/>
                <w:lang w:bidi="ar"/>
              </w:rPr>
              <w:t>b不同废物分区堆放，并进行标示；</w:t>
            </w:r>
          </w:p>
          <w:p>
            <w:pPr>
              <w:ind w:firstLine="482"/>
              <w:rPr>
                <w:rFonts w:ascii="宋体" w:hAnsi="宋体" w:cs="宋体"/>
                <w:b/>
                <w:u w:val="single"/>
                <w:lang w:bidi="ar"/>
              </w:rPr>
            </w:pPr>
            <w:r>
              <w:rPr>
                <w:rFonts w:ascii="宋体" w:hAnsi="宋体" w:cs="宋体"/>
                <w:b/>
                <w:u w:val="single"/>
                <w:lang w:bidi="ar"/>
              </w:rPr>
              <w:t>c设施内要有安全照明设施和观察窗口；</w:t>
            </w:r>
          </w:p>
          <w:p>
            <w:pPr>
              <w:ind w:firstLine="482"/>
              <w:rPr>
                <w:rFonts w:ascii="宋体" w:hAnsi="宋体" w:cs="宋体"/>
                <w:b/>
                <w:u w:val="single"/>
                <w:lang w:bidi="ar"/>
              </w:rPr>
            </w:pPr>
            <w:r>
              <w:rPr>
                <w:rFonts w:ascii="宋体" w:hAnsi="宋体" w:cs="宋体"/>
                <w:b/>
                <w:u w:val="single"/>
                <w:lang w:bidi="ar"/>
              </w:rPr>
              <w:t>d贮存场设置明显的贮存危险废物种类标志和警示标志</w:t>
            </w:r>
            <w:r>
              <w:rPr>
                <w:rFonts w:hint="eastAsia" w:ascii="宋体" w:hAnsi="宋体" w:cs="宋体"/>
                <w:b/>
                <w:u w:val="single"/>
                <w:lang w:bidi="ar"/>
              </w:rPr>
              <w:t>。</w:t>
            </w:r>
          </w:p>
          <w:p>
            <w:pPr>
              <w:ind w:firstLine="482"/>
              <w:rPr>
                <w:rFonts w:ascii="宋体" w:hAnsi="宋体" w:cs="宋体"/>
                <w:b/>
                <w:u w:val="single"/>
                <w:lang w:bidi="ar"/>
              </w:rPr>
            </w:pPr>
            <w:r>
              <w:rPr>
                <w:rFonts w:hint="eastAsia" w:ascii="宋体" w:hAnsi="宋体" w:cs="宋体"/>
                <w:b/>
                <w:u w:val="single"/>
                <w:lang w:bidi="ar"/>
              </w:rPr>
              <w:t>②</w:t>
            </w:r>
            <w:r>
              <w:rPr>
                <w:rFonts w:ascii="宋体" w:hAnsi="宋体" w:cs="宋体"/>
                <w:b/>
                <w:u w:val="single"/>
                <w:lang w:bidi="ar"/>
              </w:rPr>
              <w:t>危险废物管理要求</w:t>
            </w:r>
          </w:p>
          <w:p>
            <w:pPr>
              <w:ind w:firstLine="482"/>
              <w:rPr>
                <w:rFonts w:ascii="宋体" w:hAnsi="宋体" w:cs="宋体"/>
                <w:b/>
                <w:u w:val="single"/>
                <w:lang w:bidi="ar"/>
              </w:rPr>
            </w:pPr>
            <w:r>
              <w:rPr>
                <w:rFonts w:ascii="宋体" w:hAnsi="宋体" w:cs="宋体"/>
                <w:b/>
                <w:u w:val="single"/>
                <w:lang w:bidi="ar"/>
              </w:rPr>
              <w:t>a对危险废物分类进行收集包装、登记和设有专人管理</w:t>
            </w:r>
            <w:r>
              <w:rPr>
                <w:rFonts w:hint="eastAsia" w:ascii="宋体" w:hAnsi="宋体" w:cs="宋体"/>
                <w:b/>
                <w:u w:val="single"/>
                <w:lang w:bidi="ar"/>
              </w:rPr>
              <w:t>；</w:t>
            </w:r>
          </w:p>
          <w:p>
            <w:pPr>
              <w:ind w:firstLine="482"/>
              <w:rPr>
                <w:rFonts w:ascii="宋体" w:hAnsi="宋体" w:cs="宋体"/>
                <w:b/>
                <w:u w:val="single"/>
                <w:lang w:bidi="ar"/>
              </w:rPr>
            </w:pPr>
            <w:r>
              <w:rPr>
                <w:rFonts w:ascii="宋体" w:hAnsi="宋体" w:cs="宋体"/>
                <w:b/>
                <w:u w:val="single"/>
                <w:lang w:bidi="ar"/>
              </w:rPr>
              <w:t>b危险废物的收集运输采用专用密闭容器、车辆暂存危废定期由专用运输车运走处置，运输过程中需防止散落和流洒。</w:t>
            </w:r>
          </w:p>
          <w:p>
            <w:pPr>
              <w:ind w:firstLine="482"/>
              <w:rPr>
                <w:rFonts w:ascii="宋体" w:hAnsi="宋体" w:cs="宋体"/>
                <w:b/>
                <w:u w:val="single"/>
                <w:lang w:bidi="ar"/>
              </w:rPr>
            </w:pPr>
            <w:r>
              <w:rPr>
                <w:rFonts w:hint="eastAsia" w:ascii="宋体" w:hAnsi="宋体" w:cs="宋体"/>
                <w:b/>
                <w:u w:val="single"/>
                <w:lang w:bidi="ar"/>
              </w:rPr>
              <w:t>③</w:t>
            </w:r>
            <w:r>
              <w:rPr>
                <w:rFonts w:ascii="宋体" w:hAnsi="宋体" w:cs="宋体"/>
                <w:b/>
                <w:u w:val="single"/>
                <w:lang w:bidi="ar"/>
              </w:rPr>
              <w:t>危险废物转移要求</w:t>
            </w:r>
          </w:p>
          <w:p>
            <w:pPr>
              <w:ind w:firstLine="482"/>
              <w:rPr>
                <w:rFonts w:ascii="宋体" w:hAnsi="宋体" w:cs="宋体"/>
                <w:b/>
                <w:u w:val="single"/>
                <w:lang w:bidi="ar"/>
              </w:rPr>
            </w:pPr>
            <w:r>
              <w:rPr>
                <w:rFonts w:ascii="宋体" w:hAnsi="宋体" w:cs="宋体"/>
                <w:b/>
                <w:u w:val="single"/>
                <w:lang w:bidi="ar"/>
              </w:rPr>
              <w:t>a按照《危险废物转移联单管理办法》，危险废物产生单位在转移危险废物前，须按照国家有关规定报批危险废物转移计划；经批准后，产生单位应当向移出地环境保护行政主管部门申请领取联单</w:t>
            </w:r>
            <w:r>
              <w:rPr>
                <w:rFonts w:hint="eastAsia" w:ascii="宋体" w:hAnsi="宋体" w:cs="宋体"/>
                <w:b/>
                <w:u w:val="single"/>
                <w:lang w:bidi="ar"/>
              </w:rPr>
              <w:t>；</w:t>
            </w:r>
          </w:p>
          <w:p>
            <w:pPr>
              <w:ind w:firstLine="482"/>
              <w:rPr>
                <w:rFonts w:ascii="宋体" w:hAnsi="宋体" w:cs="宋体"/>
                <w:b/>
                <w:u w:val="single"/>
                <w:lang w:bidi="ar"/>
              </w:rPr>
            </w:pPr>
            <w:r>
              <w:rPr>
                <w:rFonts w:ascii="宋体" w:hAnsi="宋体" w:cs="宋体"/>
                <w:b/>
                <w:u w:val="single"/>
                <w:lang w:bidi="ar"/>
              </w:rPr>
              <w:t>b产生单位应当在危险废物转移前三日内报告移出地环境保护行政主管部门，并同时将预期到达时间报告接受地环境保护行政主管部门</w:t>
            </w:r>
            <w:r>
              <w:rPr>
                <w:rFonts w:hint="eastAsia" w:ascii="宋体" w:hAnsi="宋体" w:cs="宋体"/>
                <w:b/>
                <w:u w:val="single"/>
                <w:lang w:bidi="ar"/>
              </w:rPr>
              <w:t>；</w:t>
            </w:r>
          </w:p>
          <w:p>
            <w:pPr>
              <w:ind w:firstLine="482"/>
              <w:rPr>
                <w:rFonts w:ascii="宋体" w:hAnsi="宋体" w:cs="宋体"/>
                <w:b/>
                <w:u w:val="single"/>
                <w:lang w:bidi="ar"/>
              </w:rPr>
            </w:pPr>
            <w:r>
              <w:rPr>
                <w:rFonts w:ascii="宋体" w:hAnsi="宋体" w:cs="宋体"/>
                <w:b/>
                <w:u w:val="single"/>
                <w:lang w:bidi="ar"/>
              </w:rPr>
              <w:t>c危险废物产生单位每转移一车同类危险废物，应当填写一份联单。每车有多类危险废物的，应当按每一类危险废物填写一份联单</w:t>
            </w:r>
            <w:r>
              <w:rPr>
                <w:rFonts w:hint="eastAsia" w:ascii="宋体" w:hAnsi="宋体" w:cs="宋体"/>
                <w:b/>
                <w:u w:val="single"/>
                <w:lang w:bidi="ar"/>
              </w:rPr>
              <w:t>。</w:t>
            </w:r>
          </w:p>
          <w:p>
            <w:pPr>
              <w:ind w:firstLine="480"/>
              <w:rPr>
                <w:lang w:bidi="ar"/>
              </w:rPr>
            </w:pPr>
            <w:r>
              <w:rPr>
                <w:rFonts w:hint="eastAsia"/>
                <w:lang w:bidi="ar"/>
              </w:rPr>
              <w:t>③</w:t>
            </w:r>
            <w:r>
              <w:rPr>
                <w:lang w:bidi="ar"/>
              </w:rPr>
              <w:t>职工生活垃圾</w:t>
            </w:r>
          </w:p>
          <w:p>
            <w:pPr>
              <w:ind w:firstLine="480"/>
              <w:jc w:val="both"/>
            </w:pPr>
            <w:r>
              <w:t>本项目劳动定员40人，不在厂区内食宿，每天人均生活垃圾产生量按0.5kg/（人·d）计，生活垃圾年产量约为20kg/d，6.0t/a。收集后交由环卫部门处理。</w:t>
            </w:r>
          </w:p>
          <w:p>
            <w:pPr>
              <w:ind w:firstLine="482"/>
              <w:rPr>
                <w:rFonts w:ascii="宋体" w:hAnsi="宋体" w:cs="宋体"/>
                <w:b/>
                <w:u w:val="single"/>
                <w:lang w:bidi="ar"/>
              </w:rPr>
            </w:pPr>
            <w:r>
              <w:rPr>
                <w:rFonts w:ascii="宋体" w:hAnsi="宋体" w:cs="宋体"/>
                <w:b/>
                <w:u w:val="single"/>
                <w:lang w:bidi="ar"/>
              </w:rPr>
              <w:t>本项目废物产生量及处理处置去向见表。</w:t>
            </w:r>
          </w:p>
          <w:p>
            <w:pPr>
              <w:pStyle w:val="7"/>
              <w:rPr>
                <w:b/>
                <w:u w:val="single"/>
              </w:rPr>
            </w:pPr>
            <w:r>
              <w:rPr>
                <w:b/>
                <w:u w:val="single"/>
              </w:rPr>
              <w:t>固体废弃物产生及去向统计表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1073"/>
              <w:gridCol w:w="1505"/>
              <w:gridCol w:w="1119"/>
              <w:gridCol w:w="2593"/>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073"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类型</w:t>
                  </w:r>
                </w:p>
              </w:tc>
              <w:tc>
                <w:tcPr>
                  <w:tcW w:w="1505"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废物名称</w:t>
                  </w:r>
                </w:p>
              </w:tc>
              <w:tc>
                <w:tcPr>
                  <w:tcW w:w="1119" w:type="dxa"/>
                  <w:tcMar>
                    <w:top w:w="0" w:type="dxa"/>
                    <w:left w:w="0" w:type="dxa"/>
                    <w:bottom w:w="0" w:type="dxa"/>
                    <w:right w:w="0" w:type="dxa"/>
                  </w:tcMar>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产生量t/a</w:t>
                  </w:r>
                </w:p>
              </w:tc>
              <w:tc>
                <w:tcPr>
                  <w:tcW w:w="2593"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类别</w:t>
                  </w:r>
                </w:p>
              </w:tc>
              <w:tc>
                <w:tcPr>
                  <w:tcW w:w="2430"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处理处置方式及去向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073"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生活垃圾</w:t>
                  </w:r>
                </w:p>
              </w:tc>
              <w:tc>
                <w:tcPr>
                  <w:tcW w:w="1505" w:type="dxa"/>
                  <w:tcMar>
                    <w:top w:w="0" w:type="dxa"/>
                    <w:left w:w="0" w:type="dxa"/>
                    <w:bottom w:w="0" w:type="dxa"/>
                    <w:right w:w="0" w:type="dxa"/>
                  </w:tcMar>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生活垃圾</w:t>
                  </w:r>
                </w:p>
              </w:tc>
              <w:tc>
                <w:tcPr>
                  <w:tcW w:w="1119"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6.0</w:t>
                  </w:r>
                </w:p>
              </w:tc>
              <w:tc>
                <w:tcPr>
                  <w:tcW w:w="2593"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w:t>
                  </w:r>
                </w:p>
              </w:tc>
              <w:tc>
                <w:tcPr>
                  <w:tcW w:w="2430"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集中收集交由环卫部门处理处置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09" w:hRule="atLeast"/>
                <w:jc w:val="center"/>
              </w:trPr>
              <w:tc>
                <w:tcPr>
                  <w:tcW w:w="1073" w:type="dxa"/>
                  <w:vMerge w:val="restart"/>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一般固废</w:t>
                  </w:r>
                </w:p>
              </w:tc>
              <w:tc>
                <w:tcPr>
                  <w:tcW w:w="1505" w:type="dxa"/>
                  <w:tcMar>
                    <w:top w:w="0" w:type="dxa"/>
                    <w:left w:w="0" w:type="dxa"/>
                    <w:bottom w:w="0" w:type="dxa"/>
                    <w:right w:w="0" w:type="dxa"/>
                  </w:tcMar>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废边角料、废金属屑</w:t>
                  </w:r>
                </w:p>
              </w:tc>
              <w:tc>
                <w:tcPr>
                  <w:tcW w:w="1119" w:type="dxa"/>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2.7</w:t>
                  </w:r>
                </w:p>
              </w:tc>
              <w:tc>
                <w:tcPr>
                  <w:tcW w:w="2593"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w:t>
                  </w:r>
                </w:p>
              </w:tc>
              <w:tc>
                <w:tcPr>
                  <w:tcW w:w="2430" w:type="dxa"/>
                  <w:vMerge w:val="restart"/>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一般固废暂存区暂存后，定期外售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073" w:type="dxa"/>
                  <w:vMerge w:val="continue"/>
                  <w:vAlign w:val="center"/>
                </w:tcPr>
                <w:p>
                  <w:pPr>
                    <w:spacing w:line="240" w:lineRule="auto"/>
                    <w:ind w:firstLine="0" w:firstLineChars="0"/>
                    <w:jc w:val="center"/>
                    <w:rPr>
                      <w:rFonts w:eastAsiaTheme="minorEastAsia"/>
                      <w:b/>
                      <w:bCs/>
                      <w:sz w:val="21"/>
                      <w:szCs w:val="21"/>
                      <w:u w:val="single"/>
                    </w:rPr>
                  </w:pPr>
                </w:p>
              </w:tc>
              <w:tc>
                <w:tcPr>
                  <w:tcW w:w="1505" w:type="dxa"/>
                  <w:tcMar>
                    <w:top w:w="0" w:type="dxa"/>
                    <w:left w:w="0" w:type="dxa"/>
                    <w:bottom w:w="0" w:type="dxa"/>
                    <w:right w:w="0" w:type="dxa"/>
                  </w:tcMar>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废焊渣</w:t>
                  </w:r>
                </w:p>
              </w:tc>
              <w:tc>
                <w:tcPr>
                  <w:tcW w:w="1119"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0.</w:t>
                  </w:r>
                  <w:r>
                    <w:rPr>
                      <w:rFonts w:eastAsiaTheme="minorEastAsia"/>
                      <w:b/>
                      <w:bCs/>
                      <w:sz w:val="21"/>
                      <w:szCs w:val="21"/>
                      <w:u w:val="single"/>
                    </w:rPr>
                    <w:t>015</w:t>
                  </w:r>
                </w:p>
              </w:tc>
              <w:tc>
                <w:tcPr>
                  <w:tcW w:w="2593"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w:t>
                  </w:r>
                </w:p>
              </w:tc>
              <w:tc>
                <w:tcPr>
                  <w:tcW w:w="2430" w:type="dxa"/>
                  <w:vMerge w:val="continue"/>
                  <w:vAlign w:val="center"/>
                </w:tcPr>
                <w:p>
                  <w:pPr>
                    <w:spacing w:line="240" w:lineRule="auto"/>
                    <w:ind w:firstLine="0" w:firstLineChars="0"/>
                    <w:jc w:val="center"/>
                    <w:rPr>
                      <w:rFonts w:eastAsiaTheme="minorEastAsia"/>
                      <w:b/>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073" w:type="dxa"/>
                  <w:vMerge w:val="restart"/>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危险废物</w:t>
                  </w:r>
                </w:p>
              </w:tc>
              <w:tc>
                <w:tcPr>
                  <w:tcW w:w="1505" w:type="dxa"/>
                  <w:tcMar>
                    <w:top w:w="0" w:type="dxa"/>
                    <w:left w:w="0" w:type="dxa"/>
                    <w:bottom w:w="0" w:type="dxa"/>
                    <w:right w:w="0" w:type="dxa"/>
                  </w:tcMar>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废液压油</w:t>
                  </w:r>
                </w:p>
              </w:tc>
              <w:tc>
                <w:tcPr>
                  <w:tcW w:w="1119"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0.4</w:t>
                  </w:r>
                </w:p>
              </w:tc>
              <w:tc>
                <w:tcPr>
                  <w:tcW w:w="2593"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HW08废矿物油与含矿物油废物</w:t>
                  </w:r>
                </w:p>
              </w:tc>
              <w:tc>
                <w:tcPr>
                  <w:tcW w:w="2430" w:type="dxa"/>
                  <w:vMerge w:val="restart"/>
                  <w:vAlign w:val="center"/>
                </w:tcPr>
                <w:p>
                  <w:pPr>
                    <w:spacing w:line="240" w:lineRule="auto"/>
                    <w:ind w:firstLine="0" w:firstLineChars="0"/>
                    <w:jc w:val="center"/>
                    <w:rPr>
                      <w:rFonts w:eastAsiaTheme="minorEastAsia"/>
                      <w:b/>
                      <w:bCs/>
                      <w:sz w:val="21"/>
                      <w:szCs w:val="21"/>
                      <w:u w:val="single"/>
                    </w:rPr>
                  </w:pPr>
                  <w:r>
                    <w:rPr>
                      <w:rFonts w:eastAsiaTheme="minorEastAsia"/>
                      <w:b/>
                      <w:bCs/>
                      <w:sz w:val="21"/>
                      <w:szCs w:val="21"/>
                      <w:u w:val="single"/>
                    </w:rPr>
                    <w:t>危废暂存间暂存</w:t>
                  </w:r>
                  <w:r>
                    <w:rPr>
                      <w:rFonts w:hint="eastAsia" w:eastAsiaTheme="minorEastAsia"/>
                      <w:b/>
                      <w:bCs/>
                      <w:sz w:val="21"/>
                      <w:szCs w:val="21"/>
                      <w:u w:val="single"/>
                    </w:rPr>
                    <w:t>后</w:t>
                  </w:r>
                  <w:r>
                    <w:rPr>
                      <w:rFonts w:eastAsiaTheme="minorEastAsia"/>
                      <w:b/>
                      <w:bCs/>
                      <w:sz w:val="21"/>
                      <w:szCs w:val="21"/>
                      <w:u w:val="single"/>
                    </w:rPr>
                    <w:t>，定期交由资质单位处置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073" w:type="dxa"/>
                  <w:vMerge w:val="continue"/>
                  <w:vAlign w:val="center"/>
                </w:tcPr>
                <w:p>
                  <w:pPr>
                    <w:pStyle w:val="2"/>
                    <w:ind w:firstLine="643"/>
                    <w:rPr>
                      <w:u w:val="single"/>
                    </w:rPr>
                  </w:pPr>
                </w:p>
              </w:tc>
              <w:tc>
                <w:tcPr>
                  <w:tcW w:w="1505"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废切削液</w:t>
                  </w:r>
                </w:p>
              </w:tc>
              <w:tc>
                <w:tcPr>
                  <w:tcW w:w="1119"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0.5</w:t>
                  </w:r>
                </w:p>
              </w:tc>
              <w:tc>
                <w:tcPr>
                  <w:tcW w:w="2593" w:type="dxa"/>
                  <w:vAlign w:val="center"/>
                </w:tcPr>
                <w:p>
                  <w:pPr>
                    <w:spacing w:line="240" w:lineRule="auto"/>
                    <w:ind w:firstLine="0" w:firstLineChars="0"/>
                    <w:jc w:val="center"/>
                    <w:rPr>
                      <w:rFonts w:eastAsiaTheme="minorEastAsia"/>
                      <w:b/>
                      <w:bCs/>
                      <w:sz w:val="21"/>
                      <w:szCs w:val="21"/>
                      <w:u w:val="single"/>
                    </w:rPr>
                  </w:pPr>
                  <w:r>
                    <w:rPr>
                      <w:rFonts w:hint="eastAsia" w:eastAsiaTheme="minorEastAsia"/>
                      <w:b/>
                      <w:bCs/>
                      <w:sz w:val="21"/>
                      <w:szCs w:val="21"/>
                      <w:u w:val="single"/>
                    </w:rPr>
                    <w:t>HW09油/水、烃/水混合物或乳化液</w:t>
                  </w:r>
                </w:p>
              </w:tc>
              <w:tc>
                <w:tcPr>
                  <w:tcW w:w="2430" w:type="dxa"/>
                  <w:vMerge w:val="continue"/>
                  <w:vAlign w:val="center"/>
                </w:tcPr>
                <w:p>
                  <w:pPr>
                    <w:pStyle w:val="2"/>
                    <w:ind w:firstLine="643"/>
                    <w:rPr>
                      <w:u w:val="single"/>
                    </w:rPr>
                  </w:pPr>
                </w:p>
              </w:tc>
            </w:tr>
          </w:tbl>
          <w:p>
            <w:pPr>
              <w:ind w:firstLine="482"/>
              <w:rPr>
                <w:b/>
                <w:u w:val="single"/>
              </w:rPr>
            </w:pPr>
            <w:r>
              <w:rPr>
                <w:rFonts w:ascii="宋体" w:hAnsi="宋体" w:cs="宋体"/>
                <w:b/>
                <w:u w:val="single"/>
                <w:lang w:bidi="ar"/>
              </w:rPr>
              <w:t>综合以上分析，在认真落实评价所提出的固废处理建议措施后，工程固废均可以得到综合利用或合理处置，不会造成二次污染</w:t>
            </w:r>
            <w:r>
              <w:rPr>
                <w:rFonts w:hint="eastAsia" w:ascii="宋体" w:hAnsi="宋体" w:cs="宋体"/>
                <w:b/>
                <w:u w:val="single"/>
                <w:lang w:bidi="ar"/>
              </w:rPr>
              <w:t>。</w:t>
            </w:r>
          </w:p>
          <w:p>
            <w:pPr>
              <w:ind w:firstLine="0" w:firstLineChars="0"/>
              <w:rPr>
                <w:b/>
                <w:szCs w:val="20"/>
              </w:rPr>
            </w:pPr>
            <w:r>
              <w:rPr>
                <w:b/>
                <w:szCs w:val="20"/>
              </w:rPr>
              <w:t>4、声环境影响分析</w:t>
            </w:r>
          </w:p>
          <w:p>
            <w:pPr>
              <w:ind w:firstLine="480"/>
            </w:pPr>
            <w:r>
              <w:t>（1）噪声源强</w:t>
            </w:r>
          </w:p>
          <w:p>
            <w:pPr>
              <w:ind w:firstLine="480"/>
            </w:pPr>
            <w:r>
              <w:t>本项目生产过程中噪声源主要</w:t>
            </w:r>
            <w:r>
              <w:rPr>
                <w:rFonts w:hint="eastAsia"/>
              </w:rPr>
              <w:t>生产时设备产生</w:t>
            </w:r>
            <w:r>
              <w:t>的噪声，噪声级为70~85dB（A）。经厂房隔声、基础减震和距离衰减后噪声源强见下表。</w:t>
            </w:r>
          </w:p>
          <w:p>
            <w:pPr>
              <w:pStyle w:val="7"/>
            </w:pPr>
            <w:r>
              <w:t>高噪声设备源强及降噪措施效果</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47"/>
              <w:gridCol w:w="1275"/>
              <w:gridCol w:w="1134"/>
              <w:gridCol w:w="1700"/>
              <w:gridCol w:w="1702"/>
              <w:gridCol w:w="2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87"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序号</w:t>
                  </w:r>
                </w:p>
              </w:tc>
              <w:tc>
                <w:tcPr>
                  <w:tcW w:w="733"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设备名称</w:t>
                  </w:r>
                </w:p>
              </w:tc>
              <w:tc>
                <w:tcPr>
                  <w:tcW w:w="652"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数量</w:t>
                  </w:r>
                </w:p>
              </w:tc>
              <w:tc>
                <w:tcPr>
                  <w:tcW w:w="977"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源强dB（A）</w:t>
                  </w:r>
                </w:p>
              </w:tc>
              <w:tc>
                <w:tcPr>
                  <w:tcW w:w="978"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治理措施</w:t>
                  </w:r>
                </w:p>
              </w:tc>
              <w:tc>
                <w:tcPr>
                  <w:tcW w:w="1173"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噪声排放dB（A）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87"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1</w:t>
                  </w:r>
                </w:p>
              </w:tc>
              <w:tc>
                <w:tcPr>
                  <w:tcW w:w="733"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剪板机</w:t>
                  </w:r>
                </w:p>
              </w:tc>
              <w:tc>
                <w:tcPr>
                  <w:tcW w:w="652" w:type="pct"/>
                  <w:vAlign w:val="center"/>
                </w:tcPr>
                <w:p>
                  <w:pPr>
                    <w:adjustRightInd w:val="0"/>
                    <w:snapToGrid w:val="0"/>
                    <w:spacing w:line="240" w:lineRule="auto"/>
                    <w:ind w:firstLine="0" w:firstLineChars="0"/>
                    <w:jc w:val="center"/>
                    <w:rPr>
                      <w:rFonts w:eastAsiaTheme="minorEastAsia"/>
                      <w:bCs/>
                      <w:sz w:val="21"/>
                      <w:szCs w:val="21"/>
                    </w:rPr>
                  </w:pPr>
                  <w:r>
                    <w:rPr>
                      <w:rFonts w:eastAsiaTheme="minorEastAsia"/>
                      <w:bCs/>
                      <w:sz w:val="21"/>
                      <w:szCs w:val="21"/>
                    </w:rPr>
                    <w:t>1</w:t>
                  </w:r>
                </w:p>
              </w:tc>
              <w:tc>
                <w:tcPr>
                  <w:tcW w:w="977" w:type="pct"/>
                  <w:vAlign w:val="center"/>
                </w:tcPr>
                <w:p>
                  <w:pPr>
                    <w:adjustRightInd w:val="0"/>
                    <w:snapToGrid w:val="0"/>
                    <w:spacing w:line="240" w:lineRule="auto"/>
                    <w:ind w:firstLine="0" w:firstLineChars="0"/>
                    <w:jc w:val="center"/>
                    <w:rPr>
                      <w:rFonts w:eastAsiaTheme="minorEastAsia"/>
                      <w:bCs/>
                      <w:sz w:val="21"/>
                      <w:szCs w:val="21"/>
                    </w:rPr>
                  </w:pPr>
                  <w:r>
                    <w:rPr>
                      <w:rFonts w:hint="eastAsia" w:eastAsiaTheme="minorEastAsia"/>
                      <w:bCs/>
                      <w:sz w:val="21"/>
                      <w:szCs w:val="21"/>
                    </w:rPr>
                    <w:t>75</w:t>
                  </w:r>
                </w:p>
              </w:tc>
              <w:tc>
                <w:tcPr>
                  <w:tcW w:w="978" w:type="pct"/>
                  <w:vMerge w:val="restart"/>
                  <w:vAlign w:val="center"/>
                </w:tcPr>
                <w:p>
                  <w:pPr>
                    <w:spacing w:line="240" w:lineRule="auto"/>
                    <w:ind w:firstLine="420"/>
                    <w:jc w:val="center"/>
                    <w:rPr>
                      <w:rFonts w:eastAsiaTheme="minorEastAsia"/>
                      <w:bCs/>
                      <w:sz w:val="21"/>
                      <w:szCs w:val="21"/>
                    </w:rPr>
                  </w:pPr>
                  <w:r>
                    <w:rPr>
                      <w:rFonts w:eastAsiaTheme="minorEastAsia"/>
                      <w:bCs/>
                      <w:sz w:val="21"/>
                      <w:szCs w:val="21"/>
                    </w:rPr>
                    <w:t>厂房隔声、基础减震和距离衰减</w:t>
                  </w:r>
                </w:p>
              </w:tc>
              <w:tc>
                <w:tcPr>
                  <w:tcW w:w="1173" w:type="pct"/>
                  <w:vAlign w:val="center"/>
                </w:tcPr>
                <w:p>
                  <w:pPr>
                    <w:adjustRightInd w:val="0"/>
                    <w:snapToGrid w:val="0"/>
                    <w:spacing w:line="240" w:lineRule="auto"/>
                    <w:ind w:firstLine="0" w:firstLineChars="0"/>
                    <w:jc w:val="center"/>
                    <w:rPr>
                      <w:rFonts w:eastAsiaTheme="minorEastAsia"/>
                      <w:bCs/>
                      <w:sz w:val="21"/>
                      <w:szCs w:val="21"/>
                    </w:rPr>
                  </w:pPr>
                  <w:r>
                    <w:rPr>
                      <w:rFonts w:hint="eastAsia" w:eastAsiaTheme="minorEastAsia"/>
                      <w:bCs/>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87"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2</w:t>
                  </w:r>
                </w:p>
              </w:tc>
              <w:tc>
                <w:tcPr>
                  <w:tcW w:w="733"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雕刻机</w:t>
                  </w:r>
                </w:p>
              </w:tc>
              <w:tc>
                <w:tcPr>
                  <w:tcW w:w="65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2</w:t>
                  </w:r>
                </w:p>
              </w:tc>
              <w:tc>
                <w:tcPr>
                  <w:tcW w:w="977"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80</w:t>
                  </w:r>
                </w:p>
              </w:tc>
              <w:tc>
                <w:tcPr>
                  <w:tcW w:w="978" w:type="pct"/>
                  <w:vMerge w:val="continue"/>
                  <w:vAlign w:val="center"/>
                </w:tcPr>
                <w:p>
                  <w:pPr>
                    <w:spacing w:line="240" w:lineRule="auto"/>
                    <w:ind w:firstLine="420"/>
                    <w:jc w:val="center"/>
                    <w:rPr>
                      <w:rFonts w:eastAsiaTheme="minorEastAsia"/>
                      <w:bCs/>
                      <w:sz w:val="21"/>
                      <w:szCs w:val="21"/>
                    </w:rPr>
                  </w:pPr>
                </w:p>
              </w:tc>
              <w:tc>
                <w:tcPr>
                  <w:tcW w:w="1173" w:type="pct"/>
                  <w:vAlign w:val="center"/>
                </w:tcPr>
                <w:p>
                  <w:pPr>
                    <w:adjustRightInd w:val="0"/>
                    <w:snapToGrid w:val="0"/>
                    <w:spacing w:line="240" w:lineRule="auto"/>
                    <w:ind w:firstLine="0" w:firstLineChars="0"/>
                    <w:jc w:val="center"/>
                    <w:rPr>
                      <w:rFonts w:eastAsiaTheme="minorEastAsia"/>
                      <w:bCs/>
                      <w:sz w:val="21"/>
                      <w:szCs w:val="21"/>
                    </w:rPr>
                  </w:pPr>
                  <w:r>
                    <w:rPr>
                      <w:rFonts w:hint="eastAsia" w:eastAsiaTheme="minorEastAsia"/>
                      <w:bCs/>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87"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3</w:t>
                  </w:r>
                </w:p>
              </w:tc>
              <w:tc>
                <w:tcPr>
                  <w:tcW w:w="733"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刨槽机</w:t>
                  </w:r>
                </w:p>
              </w:tc>
              <w:tc>
                <w:tcPr>
                  <w:tcW w:w="652" w:type="pct"/>
                  <w:vAlign w:val="center"/>
                </w:tcPr>
                <w:p>
                  <w:pPr>
                    <w:spacing w:line="240" w:lineRule="auto"/>
                    <w:ind w:firstLine="0" w:firstLineChars="0"/>
                    <w:jc w:val="center"/>
                    <w:rPr>
                      <w:rFonts w:eastAsiaTheme="minorEastAsia"/>
                      <w:bCs/>
                      <w:sz w:val="21"/>
                      <w:szCs w:val="21"/>
                    </w:rPr>
                  </w:pPr>
                  <w:r>
                    <w:rPr>
                      <w:rFonts w:eastAsiaTheme="minorEastAsia"/>
                      <w:bCs/>
                      <w:sz w:val="21"/>
                      <w:szCs w:val="21"/>
                    </w:rPr>
                    <w:t>1</w:t>
                  </w:r>
                </w:p>
              </w:tc>
              <w:tc>
                <w:tcPr>
                  <w:tcW w:w="977"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80</w:t>
                  </w:r>
                </w:p>
              </w:tc>
              <w:tc>
                <w:tcPr>
                  <w:tcW w:w="978" w:type="pct"/>
                  <w:vMerge w:val="continue"/>
                  <w:vAlign w:val="center"/>
                </w:tcPr>
                <w:p>
                  <w:pPr>
                    <w:spacing w:line="240" w:lineRule="auto"/>
                    <w:ind w:firstLine="0" w:firstLineChars="0"/>
                    <w:jc w:val="center"/>
                    <w:rPr>
                      <w:rFonts w:eastAsiaTheme="minorEastAsia"/>
                      <w:bCs/>
                      <w:sz w:val="21"/>
                      <w:szCs w:val="21"/>
                    </w:rPr>
                  </w:pPr>
                </w:p>
              </w:tc>
              <w:tc>
                <w:tcPr>
                  <w:tcW w:w="1173" w:type="pct"/>
                  <w:vAlign w:val="center"/>
                </w:tcPr>
                <w:p>
                  <w:pPr>
                    <w:adjustRightInd w:val="0"/>
                    <w:snapToGrid w:val="0"/>
                    <w:spacing w:line="240" w:lineRule="auto"/>
                    <w:ind w:firstLine="0" w:firstLineChars="0"/>
                    <w:jc w:val="center"/>
                    <w:rPr>
                      <w:rFonts w:eastAsiaTheme="minorEastAsia"/>
                      <w:bCs/>
                      <w:sz w:val="21"/>
                      <w:szCs w:val="21"/>
                    </w:rPr>
                  </w:pPr>
                  <w:r>
                    <w:rPr>
                      <w:rFonts w:hint="eastAsia" w:eastAsiaTheme="minorEastAsia"/>
                      <w:bCs/>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87" w:type="pct"/>
                  <w:vAlign w:val="center"/>
                </w:tcPr>
                <w:p>
                  <w:pPr>
                    <w:spacing w:line="240" w:lineRule="auto"/>
                    <w:ind w:firstLine="0" w:firstLineChars="0"/>
                    <w:jc w:val="center"/>
                    <w:rPr>
                      <w:rFonts w:eastAsiaTheme="minorEastAsia"/>
                      <w:bCs/>
                      <w:sz w:val="21"/>
                      <w:szCs w:val="21"/>
                    </w:rPr>
                  </w:pPr>
                </w:p>
              </w:tc>
              <w:tc>
                <w:tcPr>
                  <w:tcW w:w="733" w:type="pct"/>
                  <w:vAlign w:val="center"/>
                </w:tcPr>
                <w:p>
                  <w:pPr>
                    <w:spacing w:line="240" w:lineRule="auto"/>
                    <w:ind w:firstLine="0" w:firstLineChars="0"/>
                    <w:jc w:val="center"/>
                    <w:rPr>
                      <w:rFonts w:eastAsiaTheme="minorEastAsia"/>
                      <w:bCs/>
                      <w:sz w:val="21"/>
                      <w:szCs w:val="21"/>
                    </w:rPr>
                  </w:pPr>
                  <w:r>
                    <w:rPr>
                      <w:rFonts w:hint="eastAsia" w:eastAsiaTheme="minorEastAsia"/>
                      <w:bCs/>
                      <w:sz w:val="21"/>
                      <w:szCs w:val="21"/>
                    </w:rPr>
                    <w:t>折弯机</w:t>
                  </w:r>
                </w:p>
              </w:tc>
              <w:tc>
                <w:tcPr>
                  <w:tcW w:w="652" w:type="pct"/>
                  <w:vAlign w:val="center"/>
                </w:tcPr>
                <w:p>
                  <w:pPr>
                    <w:adjustRightInd w:val="0"/>
                    <w:snapToGrid w:val="0"/>
                    <w:spacing w:line="240" w:lineRule="auto"/>
                    <w:ind w:firstLine="0" w:firstLineChars="0"/>
                    <w:jc w:val="center"/>
                    <w:rPr>
                      <w:rFonts w:eastAsiaTheme="minorEastAsia"/>
                      <w:bCs/>
                      <w:sz w:val="21"/>
                      <w:szCs w:val="21"/>
                    </w:rPr>
                  </w:pPr>
                  <w:r>
                    <w:rPr>
                      <w:rFonts w:eastAsiaTheme="minorEastAsia"/>
                      <w:bCs/>
                      <w:sz w:val="21"/>
                      <w:szCs w:val="21"/>
                    </w:rPr>
                    <w:t>4</w:t>
                  </w:r>
                </w:p>
              </w:tc>
              <w:tc>
                <w:tcPr>
                  <w:tcW w:w="977" w:type="pct"/>
                  <w:vAlign w:val="center"/>
                </w:tcPr>
                <w:p>
                  <w:pPr>
                    <w:adjustRightInd w:val="0"/>
                    <w:snapToGrid w:val="0"/>
                    <w:spacing w:line="240" w:lineRule="auto"/>
                    <w:ind w:firstLine="0" w:firstLineChars="0"/>
                    <w:jc w:val="center"/>
                    <w:rPr>
                      <w:rFonts w:eastAsiaTheme="minorEastAsia"/>
                      <w:bCs/>
                      <w:sz w:val="21"/>
                      <w:szCs w:val="21"/>
                    </w:rPr>
                  </w:pPr>
                  <w:r>
                    <w:rPr>
                      <w:rFonts w:hint="eastAsia" w:eastAsiaTheme="minorEastAsia"/>
                      <w:bCs/>
                      <w:sz w:val="21"/>
                      <w:szCs w:val="21"/>
                    </w:rPr>
                    <w:t>85</w:t>
                  </w:r>
                </w:p>
              </w:tc>
              <w:tc>
                <w:tcPr>
                  <w:tcW w:w="978" w:type="pct"/>
                  <w:vMerge w:val="continue"/>
                  <w:vAlign w:val="center"/>
                </w:tcPr>
                <w:p>
                  <w:pPr>
                    <w:spacing w:line="240" w:lineRule="auto"/>
                    <w:ind w:firstLine="0" w:firstLineChars="0"/>
                    <w:jc w:val="center"/>
                    <w:rPr>
                      <w:rFonts w:eastAsiaTheme="minorEastAsia"/>
                      <w:bCs/>
                      <w:sz w:val="21"/>
                      <w:szCs w:val="21"/>
                    </w:rPr>
                  </w:pPr>
                </w:p>
              </w:tc>
              <w:tc>
                <w:tcPr>
                  <w:tcW w:w="1173" w:type="pct"/>
                  <w:vAlign w:val="center"/>
                </w:tcPr>
                <w:p>
                  <w:pPr>
                    <w:adjustRightInd w:val="0"/>
                    <w:snapToGrid w:val="0"/>
                    <w:spacing w:line="240" w:lineRule="auto"/>
                    <w:ind w:firstLine="0" w:firstLineChars="0"/>
                    <w:jc w:val="center"/>
                    <w:rPr>
                      <w:rFonts w:eastAsiaTheme="minorEastAsia"/>
                      <w:bCs/>
                      <w:sz w:val="21"/>
                      <w:szCs w:val="21"/>
                    </w:rPr>
                  </w:pPr>
                  <w:r>
                    <w:rPr>
                      <w:rFonts w:hint="eastAsia" w:eastAsiaTheme="minorEastAsia"/>
                      <w:bCs/>
                      <w:sz w:val="21"/>
                      <w:szCs w:val="21"/>
                    </w:rPr>
                    <w:t>65</w:t>
                  </w:r>
                </w:p>
              </w:tc>
            </w:tr>
          </w:tbl>
          <w:p>
            <w:pPr>
              <w:ind w:firstLine="480"/>
            </w:pPr>
            <w:r>
              <w:t>（2）预测方法</w:t>
            </w:r>
          </w:p>
          <w:p>
            <w:pPr>
              <w:ind w:firstLine="480"/>
            </w:pPr>
            <w:r>
              <w:rPr>
                <w:rFonts w:hint="eastAsia"/>
              </w:rPr>
              <w:t>本项目属于新建项目，企业白天生产，晚上不生产，评价采用《环境影响评价技术导则—声环境》（HJ2.4-2009）中推荐的噪声随距离衰减的公式进行预测。高噪设备设置在车间内，因此本次评价以生产车间作为一个点源进行预测，预测模式选用点源衰减模式和噪声叠加模式：</w:t>
            </w:r>
          </w:p>
          <w:p>
            <w:pPr>
              <w:ind w:firstLine="482"/>
              <w:rPr>
                <w:b/>
                <w:bCs/>
              </w:rPr>
            </w:pPr>
            <w:r>
              <w:rPr>
                <w:rFonts w:hint="eastAsia" w:ascii="宋体" w:hAnsi="宋体" w:cs="宋体"/>
                <w:b/>
                <w:bCs/>
              </w:rPr>
              <w:t>①</w:t>
            </w:r>
            <w:r>
              <w:rPr>
                <w:b/>
                <w:bCs/>
              </w:rPr>
              <w:t>点源衰减模式：</w:t>
            </w:r>
          </w:p>
          <w:p>
            <w:pPr>
              <w:ind w:firstLine="480"/>
            </w:pPr>
            <w:r>
              <w:object>
                <v:shape id="_x0000_i1027" o:spt="75" type="#_x0000_t75" style="height:18pt;width:106.2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p>
          <w:p>
            <w:pPr>
              <w:ind w:firstLine="480"/>
            </w:pPr>
            <w:r>
              <w:t>式中：</w:t>
            </w:r>
            <w:r>
              <w:rPr>
                <w:i/>
              </w:rPr>
              <w:t>L</w:t>
            </w:r>
            <w:r>
              <w:rPr>
                <w:i/>
                <w:vertAlign w:val="subscript"/>
              </w:rPr>
              <w:t>r</w:t>
            </w:r>
            <w:r>
              <w:t>—距声源距离为r处的等效A声级值，dB（A）；</w:t>
            </w:r>
          </w:p>
          <w:p>
            <w:pPr>
              <w:ind w:firstLine="480"/>
            </w:pPr>
            <w:r>
              <w:rPr>
                <w:i/>
              </w:rPr>
              <w:t>L</w:t>
            </w:r>
            <w:r>
              <w:rPr>
                <w:i/>
                <w:vertAlign w:val="subscript"/>
              </w:rPr>
              <w:t>0</w:t>
            </w:r>
            <w:r>
              <w:t>—距声源距离为r</w:t>
            </w:r>
            <w:r>
              <w:rPr>
                <w:vertAlign w:val="subscript"/>
              </w:rPr>
              <w:t>0</w:t>
            </w:r>
            <w:r>
              <w:t>处的等效A声级值，dB（A）；</w:t>
            </w:r>
          </w:p>
          <w:p>
            <w:pPr>
              <w:ind w:firstLine="480"/>
            </w:pPr>
            <w:r>
              <w:rPr>
                <w:i/>
              </w:rPr>
              <w:t>r</w:t>
            </w:r>
            <w:r>
              <w:t>—关心点距离噪声源距离，m；</w:t>
            </w:r>
          </w:p>
          <w:p>
            <w:pPr>
              <w:ind w:firstLine="480"/>
            </w:pPr>
            <w:r>
              <w:rPr>
                <w:i/>
              </w:rPr>
              <w:t>r</w:t>
            </w:r>
            <w:r>
              <w:rPr>
                <w:i/>
                <w:vertAlign w:val="subscript"/>
              </w:rPr>
              <w:t>0</w:t>
            </w:r>
            <w:r>
              <w:t>—声级为L</w:t>
            </w:r>
            <w:r>
              <w:rPr>
                <w:vertAlign w:val="subscript"/>
              </w:rPr>
              <w:t>0</w:t>
            </w:r>
            <w:r>
              <w:t>点距声源距离，r</w:t>
            </w:r>
            <w:r>
              <w:rPr>
                <w:vertAlign w:val="subscript"/>
              </w:rPr>
              <w:t>0</w:t>
            </w:r>
            <w:r>
              <w:t>＝1m。</w:t>
            </w:r>
          </w:p>
          <w:p>
            <w:pPr>
              <w:ind w:firstLine="482"/>
              <w:rPr>
                <w:b/>
                <w:bCs/>
              </w:rPr>
            </w:pPr>
            <w:r>
              <w:rPr>
                <w:rFonts w:hint="eastAsia" w:ascii="宋体" w:hAnsi="宋体" w:cs="宋体"/>
                <w:b/>
                <w:bCs/>
              </w:rPr>
              <w:t>②</w:t>
            </w:r>
            <w:r>
              <w:rPr>
                <w:b/>
                <w:bCs/>
              </w:rPr>
              <w:t>噪声叠加模式：</w:t>
            </w:r>
          </w:p>
          <w:p>
            <w:pPr>
              <w:ind w:firstLine="480"/>
            </w:pPr>
            <w:r>
              <w:object>
                <v:shape id="_x0000_i1028" o:spt="75" type="#_x0000_t75" style="height:20.4pt;width:94.2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p>
          <w:p>
            <w:pPr>
              <w:ind w:firstLine="480"/>
            </w:pPr>
            <w:r>
              <w:t>式中：</w:t>
            </w:r>
            <w:r>
              <w:rPr>
                <w:i/>
              </w:rPr>
              <w:t>L</w:t>
            </w:r>
            <w:r>
              <w:t>—预侧点噪声叠加值，dB（A）；</w:t>
            </w:r>
          </w:p>
          <w:p>
            <w:pPr>
              <w:ind w:firstLine="480"/>
            </w:pPr>
            <w:r>
              <w:rPr>
                <w:i/>
              </w:rPr>
              <w:t xml:space="preserve"> L</w:t>
            </w:r>
            <w:r>
              <w:rPr>
                <w:i/>
                <w:vertAlign w:val="subscript"/>
              </w:rPr>
              <w:t>i</w:t>
            </w:r>
            <w:r>
              <w:t>—第i个声源的声压级，dB（A）；</w:t>
            </w:r>
          </w:p>
          <w:p>
            <w:pPr>
              <w:ind w:firstLine="480"/>
            </w:pPr>
            <w:r>
              <w:t xml:space="preserve"> </w:t>
            </w:r>
            <w:r>
              <w:rPr>
                <w:i/>
              </w:rPr>
              <w:t>n</w:t>
            </w:r>
            <w:r>
              <w:t>—声源数量。</w:t>
            </w:r>
          </w:p>
          <w:p>
            <w:pPr>
              <w:ind w:firstLine="480"/>
            </w:pPr>
            <w:r>
              <w:t>（3）预测结果</w:t>
            </w:r>
          </w:p>
          <w:p>
            <w:pPr>
              <w:ind w:firstLine="480"/>
            </w:pPr>
            <w:r>
              <w:t>根据项目建设布局情况</w:t>
            </w:r>
            <w:r>
              <w:rPr>
                <w:rFonts w:hint="eastAsia"/>
              </w:rPr>
              <w:t>、生产情况</w:t>
            </w:r>
            <w:r>
              <w:t>及项目拟采用的隔声降噪措施，本次评价选择主要噪声源对项目厂界进行</w:t>
            </w:r>
            <w:r>
              <w:rPr>
                <w:rFonts w:hint="eastAsia"/>
              </w:rPr>
              <w:t>昼间</w:t>
            </w:r>
            <w:r>
              <w:t>预测，项目噪声预测结果统计分析见</w:t>
            </w:r>
            <w:r>
              <w:rPr>
                <w:rFonts w:hint="eastAsia"/>
              </w:rPr>
              <w:t>下表</w:t>
            </w:r>
            <w:r>
              <w:t>。</w:t>
            </w:r>
          </w:p>
          <w:p>
            <w:pPr>
              <w:pStyle w:val="7"/>
            </w:pPr>
            <w:r>
              <w:t>本项目厂界噪声预测结果一览表单位：dB(A)</w:t>
            </w:r>
          </w:p>
          <w:tbl>
            <w:tblPr>
              <w:tblStyle w:val="20"/>
              <w:tblW w:w="8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10"/>
              <w:gridCol w:w="1011"/>
              <w:gridCol w:w="1863"/>
              <w:gridCol w:w="1406"/>
              <w:gridCol w:w="936"/>
              <w:gridCol w:w="937"/>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310" w:type="dxa"/>
                  <w:vAlign w:val="center"/>
                </w:tcPr>
                <w:p>
                  <w:pPr>
                    <w:spacing w:line="360" w:lineRule="exact"/>
                    <w:ind w:firstLine="0" w:firstLineChars="0"/>
                    <w:jc w:val="center"/>
                    <w:rPr>
                      <w:bCs/>
                      <w:sz w:val="21"/>
                      <w:szCs w:val="21"/>
                    </w:rPr>
                  </w:pPr>
                  <w:r>
                    <w:rPr>
                      <w:bCs/>
                      <w:sz w:val="21"/>
                      <w:szCs w:val="21"/>
                    </w:rPr>
                    <w:t>预测点</w:t>
                  </w:r>
                </w:p>
              </w:tc>
              <w:tc>
                <w:tcPr>
                  <w:tcW w:w="1011" w:type="dxa"/>
                  <w:vAlign w:val="center"/>
                </w:tcPr>
                <w:p>
                  <w:pPr>
                    <w:spacing w:line="360" w:lineRule="exact"/>
                    <w:ind w:firstLine="0" w:firstLineChars="0"/>
                    <w:jc w:val="center"/>
                    <w:rPr>
                      <w:bCs/>
                      <w:sz w:val="21"/>
                      <w:szCs w:val="21"/>
                    </w:rPr>
                  </w:pPr>
                  <w:r>
                    <w:rPr>
                      <w:bCs/>
                      <w:sz w:val="21"/>
                      <w:szCs w:val="21"/>
                    </w:rPr>
                    <w:t>时间</w:t>
                  </w:r>
                </w:p>
              </w:tc>
              <w:tc>
                <w:tcPr>
                  <w:tcW w:w="1863" w:type="dxa"/>
                  <w:vAlign w:val="center"/>
                </w:tcPr>
                <w:p>
                  <w:pPr>
                    <w:spacing w:line="360" w:lineRule="exact"/>
                    <w:ind w:firstLine="0" w:firstLineChars="0"/>
                    <w:jc w:val="center"/>
                    <w:rPr>
                      <w:bCs/>
                      <w:sz w:val="21"/>
                      <w:szCs w:val="21"/>
                    </w:rPr>
                  </w:pPr>
                  <w:r>
                    <w:rPr>
                      <w:bCs/>
                      <w:sz w:val="21"/>
                      <w:szCs w:val="21"/>
                    </w:rPr>
                    <w:t>噪声源距厂界距离/m</w:t>
                  </w:r>
                </w:p>
              </w:tc>
              <w:tc>
                <w:tcPr>
                  <w:tcW w:w="1406" w:type="dxa"/>
                  <w:vAlign w:val="center"/>
                </w:tcPr>
                <w:p>
                  <w:pPr>
                    <w:spacing w:line="360" w:lineRule="exact"/>
                    <w:ind w:firstLine="0" w:firstLineChars="0"/>
                    <w:jc w:val="center"/>
                    <w:rPr>
                      <w:bCs/>
                      <w:sz w:val="21"/>
                      <w:szCs w:val="21"/>
                    </w:rPr>
                  </w:pPr>
                  <w:r>
                    <w:rPr>
                      <w:bCs/>
                      <w:sz w:val="21"/>
                      <w:szCs w:val="21"/>
                    </w:rPr>
                    <w:t>贡献值</w:t>
                  </w:r>
                </w:p>
              </w:tc>
              <w:tc>
                <w:tcPr>
                  <w:tcW w:w="936" w:type="dxa"/>
                  <w:vAlign w:val="center"/>
                </w:tcPr>
                <w:p>
                  <w:pPr>
                    <w:spacing w:line="360" w:lineRule="exact"/>
                    <w:ind w:firstLine="0" w:firstLineChars="0"/>
                    <w:jc w:val="center"/>
                    <w:rPr>
                      <w:bCs/>
                      <w:sz w:val="21"/>
                      <w:szCs w:val="21"/>
                    </w:rPr>
                  </w:pPr>
                  <w:r>
                    <w:rPr>
                      <w:bCs/>
                      <w:sz w:val="21"/>
                      <w:szCs w:val="21"/>
                    </w:rPr>
                    <w:t>预测值</w:t>
                  </w:r>
                </w:p>
              </w:tc>
              <w:tc>
                <w:tcPr>
                  <w:tcW w:w="937" w:type="dxa"/>
                  <w:vAlign w:val="center"/>
                </w:tcPr>
                <w:p>
                  <w:pPr>
                    <w:spacing w:line="360" w:lineRule="exact"/>
                    <w:ind w:firstLine="0" w:firstLineChars="0"/>
                    <w:jc w:val="center"/>
                    <w:rPr>
                      <w:bCs/>
                      <w:sz w:val="21"/>
                      <w:szCs w:val="21"/>
                    </w:rPr>
                  </w:pPr>
                  <w:r>
                    <w:rPr>
                      <w:bCs/>
                      <w:sz w:val="21"/>
                      <w:szCs w:val="21"/>
                    </w:rPr>
                    <w:t>标准值</w:t>
                  </w:r>
                </w:p>
              </w:tc>
              <w:tc>
                <w:tcPr>
                  <w:tcW w:w="1237" w:type="dxa"/>
                  <w:vAlign w:val="center"/>
                </w:tcPr>
                <w:p>
                  <w:pPr>
                    <w:spacing w:line="360" w:lineRule="exact"/>
                    <w:ind w:firstLine="0" w:firstLineChars="0"/>
                    <w:jc w:val="center"/>
                    <w:rPr>
                      <w:bCs/>
                      <w:sz w:val="21"/>
                      <w:szCs w:val="21"/>
                    </w:rPr>
                  </w:pPr>
                  <w:r>
                    <w:rPr>
                      <w:bCs/>
                      <w:sz w:val="21"/>
                      <w:szCs w:val="21"/>
                    </w:rPr>
                    <w:t>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1310" w:type="dxa"/>
                  <w:vAlign w:val="center"/>
                </w:tcPr>
                <w:p>
                  <w:pPr>
                    <w:spacing w:line="360" w:lineRule="exact"/>
                    <w:ind w:firstLine="0" w:firstLineChars="0"/>
                    <w:jc w:val="center"/>
                    <w:rPr>
                      <w:sz w:val="21"/>
                      <w:szCs w:val="21"/>
                    </w:rPr>
                  </w:pPr>
                  <w:r>
                    <w:rPr>
                      <w:sz w:val="21"/>
                      <w:szCs w:val="21"/>
                    </w:rPr>
                    <w:t>东厂界</w:t>
                  </w:r>
                </w:p>
              </w:tc>
              <w:tc>
                <w:tcPr>
                  <w:tcW w:w="1011" w:type="dxa"/>
                  <w:vAlign w:val="center"/>
                </w:tcPr>
                <w:p>
                  <w:pPr>
                    <w:spacing w:line="360" w:lineRule="exact"/>
                    <w:ind w:firstLine="0" w:firstLineChars="0"/>
                    <w:jc w:val="center"/>
                    <w:rPr>
                      <w:sz w:val="21"/>
                      <w:szCs w:val="21"/>
                    </w:rPr>
                  </w:pPr>
                  <w:r>
                    <w:rPr>
                      <w:sz w:val="21"/>
                      <w:szCs w:val="21"/>
                    </w:rPr>
                    <w:t>昼</w:t>
                  </w:r>
                </w:p>
              </w:tc>
              <w:tc>
                <w:tcPr>
                  <w:tcW w:w="1863" w:type="dxa"/>
                  <w:vAlign w:val="center"/>
                </w:tcPr>
                <w:p>
                  <w:pPr>
                    <w:spacing w:line="360" w:lineRule="exact"/>
                    <w:ind w:firstLine="0" w:firstLineChars="0"/>
                    <w:jc w:val="center"/>
                    <w:rPr>
                      <w:sz w:val="21"/>
                      <w:szCs w:val="21"/>
                    </w:rPr>
                  </w:pPr>
                  <w:r>
                    <w:rPr>
                      <w:sz w:val="21"/>
                      <w:szCs w:val="21"/>
                    </w:rPr>
                    <w:t>1</w:t>
                  </w:r>
                </w:p>
              </w:tc>
              <w:tc>
                <w:tcPr>
                  <w:tcW w:w="1406" w:type="dxa"/>
                </w:tcPr>
                <w:p>
                  <w:pPr>
                    <w:spacing w:line="360" w:lineRule="exact"/>
                    <w:ind w:firstLine="0" w:firstLineChars="0"/>
                    <w:jc w:val="center"/>
                    <w:rPr>
                      <w:sz w:val="21"/>
                      <w:szCs w:val="21"/>
                    </w:rPr>
                  </w:pPr>
                  <w:r>
                    <w:rPr>
                      <w:rFonts w:hint="eastAsia"/>
                      <w:sz w:val="21"/>
                      <w:szCs w:val="21"/>
                    </w:rPr>
                    <w:t>4</w:t>
                  </w:r>
                  <w:r>
                    <w:rPr>
                      <w:sz w:val="21"/>
                      <w:szCs w:val="21"/>
                    </w:rPr>
                    <w:t>6</w:t>
                  </w:r>
                </w:p>
              </w:tc>
              <w:tc>
                <w:tcPr>
                  <w:tcW w:w="936" w:type="dxa"/>
                  <w:vAlign w:val="center"/>
                </w:tcPr>
                <w:p>
                  <w:pPr>
                    <w:spacing w:line="360" w:lineRule="exact"/>
                    <w:ind w:firstLine="0" w:firstLineChars="0"/>
                    <w:jc w:val="center"/>
                    <w:rPr>
                      <w:sz w:val="21"/>
                      <w:szCs w:val="21"/>
                    </w:rPr>
                  </w:pPr>
                  <w:r>
                    <w:rPr>
                      <w:sz w:val="21"/>
                      <w:szCs w:val="21"/>
                    </w:rPr>
                    <w:t>/</w:t>
                  </w:r>
                </w:p>
              </w:tc>
              <w:tc>
                <w:tcPr>
                  <w:tcW w:w="937" w:type="dxa"/>
                  <w:vAlign w:val="center"/>
                </w:tcPr>
                <w:p>
                  <w:pPr>
                    <w:spacing w:line="360" w:lineRule="exact"/>
                    <w:ind w:firstLine="0" w:firstLineChars="0"/>
                    <w:jc w:val="center"/>
                    <w:rPr>
                      <w:sz w:val="21"/>
                      <w:szCs w:val="21"/>
                    </w:rPr>
                  </w:pPr>
                  <w:r>
                    <w:rPr>
                      <w:sz w:val="21"/>
                      <w:szCs w:val="21"/>
                    </w:rPr>
                    <w:t>60</w:t>
                  </w:r>
                </w:p>
              </w:tc>
              <w:tc>
                <w:tcPr>
                  <w:tcW w:w="1237" w:type="dxa"/>
                  <w:vAlign w:val="center"/>
                </w:tcPr>
                <w:p>
                  <w:pPr>
                    <w:spacing w:line="360" w:lineRule="exact"/>
                    <w:ind w:firstLine="0" w:firstLineChars="0"/>
                    <w:jc w:val="center"/>
                    <w:rPr>
                      <w:sz w:val="21"/>
                      <w:szCs w:val="21"/>
                    </w:rPr>
                  </w:pPr>
                  <w:r>
                    <w:rPr>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 w:hRule="atLeast"/>
                <w:jc w:val="center"/>
              </w:trPr>
              <w:tc>
                <w:tcPr>
                  <w:tcW w:w="1310" w:type="dxa"/>
                  <w:vAlign w:val="center"/>
                </w:tcPr>
                <w:p>
                  <w:pPr>
                    <w:spacing w:line="360" w:lineRule="exact"/>
                    <w:ind w:firstLine="0" w:firstLineChars="0"/>
                    <w:jc w:val="center"/>
                    <w:rPr>
                      <w:sz w:val="21"/>
                      <w:szCs w:val="21"/>
                    </w:rPr>
                  </w:pPr>
                  <w:r>
                    <w:rPr>
                      <w:sz w:val="21"/>
                      <w:szCs w:val="21"/>
                    </w:rPr>
                    <w:t>南厂界</w:t>
                  </w:r>
                </w:p>
              </w:tc>
              <w:tc>
                <w:tcPr>
                  <w:tcW w:w="1011" w:type="dxa"/>
                  <w:vAlign w:val="center"/>
                </w:tcPr>
                <w:p>
                  <w:pPr>
                    <w:spacing w:line="360" w:lineRule="exact"/>
                    <w:ind w:firstLine="0" w:firstLineChars="0"/>
                    <w:jc w:val="center"/>
                    <w:rPr>
                      <w:sz w:val="21"/>
                      <w:szCs w:val="21"/>
                    </w:rPr>
                  </w:pPr>
                  <w:r>
                    <w:rPr>
                      <w:sz w:val="21"/>
                      <w:szCs w:val="21"/>
                    </w:rPr>
                    <w:t>昼</w:t>
                  </w:r>
                </w:p>
              </w:tc>
              <w:tc>
                <w:tcPr>
                  <w:tcW w:w="1863" w:type="dxa"/>
                  <w:vAlign w:val="center"/>
                </w:tcPr>
                <w:p>
                  <w:pPr>
                    <w:spacing w:line="360" w:lineRule="exact"/>
                    <w:ind w:firstLine="0" w:firstLineChars="0"/>
                    <w:jc w:val="center"/>
                    <w:rPr>
                      <w:sz w:val="21"/>
                      <w:szCs w:val="21"/>
                    </w:rPr>
                  </w:pPr>
                  <w:r>
                    <w:rPr>
                      <w:sz w:val="21"/>
                      <w:szCs w:val="21"/>
                    </w:rPr>
                    <w:t>1</w:t>
                  </w:r>
                </w:p>
              </w:tc>
              <w:tc>
                <w:tcPr>
                  <w:tcW w:w="1406" w:type="dxa"/>
                </w:tcPr>
                <w:p>
                  <w:pPr>
                    <w:spacing w:line="360" w:lineRule="exact"/>
                    <w:ind w:firstLine="0" w:firstLineChars="0"/>
                    <w:jc w:val="center"/>
                    <w:rPr>
                      <w:sz w:val="21"/>
                      <w:szCs w:val="21"/>
                    </w:rPr>
                  </w:pPr>
                  <w:r>
                    <w:rPr>
                      <w:rFonts w:hint="eastAsia"/>
                      <w:sz w:val="21"/>
                      <w:szCs w:val="21"/>
                    </w:rPr>
                    <w:t>4</w:t>
                  </w:r>
                  <w:r>
                    <w:rPr>
                      <w:sz w:val="21"/>
                      <w:szCs w:val="21"/>
                    </w:rPr>
                    <w:t>4</w:t>
                  </w:r>
                </w:p>
              </w:tc>
              <w:tc>
                <w:tcPr>
                  <w:tcW w:w="936" w:type="dxa"/>
                  <w:vAlign w:val="center"/>
                </w:tcPr>
                <w:p>
                  <w:pPr>
                    <w:spacing w:line="360" w:lineRule="exact"/>
                    <w:ind w:firstLine="0" w:firstLineChars="0"/>
                    <w:jc w:val="center"/>
                    <w:rPr>
                      <w:sz w:val="21"/>
                      <w:szCs w:val="21"/>
                    </w:rPr>
                  </w:pPr>
                  <w:r>
                    <w:rPr>
                      <w:sz w:val="21"/>
                      <w:szCs w:val="21"/>
                    </w:rPr>
                    <w:t>/</w:t>
                  </w:r>
                </w:p>
              </w:tc>
              <w:tc>
                <w:tcPr>
                  <w:tcW w:w="937" w:type="dxa"/>
                  <w:vAlign w:val="center"/>
                </w:tcPr>
                <w:p>
                  <w:pPr>
                    <w:spacing w:line="360" w:lineRule="exact"/>
                    <w:ind w:firstLine="0" w:firstLineChars="0"/>
                    <w:jc w:val="center"/>
                    <w:rPr>
                      <w:sz w:val="21"/>
                      <w:szCs w:val="21"/>
                    </w:rPr>
                  </w:pPr>
                  <w:r>
                    <w:rPr>
                      <w:sz w:val="21"/>
                      <w:szCs w:val="21"/>
                    </w:rPr>
                    <w:t>60</w:t>
                  </w:r>
                </w:p>
              </w:tc>
              <w:tc>
                <w:tcPr>
                  <w:tcW w:w="1237" w:type="dxa"/>
                  <w:vAlign w:val="center"/>
                </w:tcPr>
                <w:p>
                  <w:pPr>
                    <w:spacing w:line="360" w:lineRule="exact"/>
                    <w:ind w:firstLine="0" w:firstLineChars="0"/>
                    <w:jc w:val="center"/>
                    <w:rPr>
                      <w:sz w:val="21"/>
                      <w:szCs w:val="21"/>
                    </w:rPr>
                  </w:pPr>
                  <w:r>
                    <w:rPr>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1310" w:type="dxa"/>
                  <w:vAlign w:val="center"/>
                </w:tcPr>
                <w:p>
                  <w:pPr>
                    <w:spacing w:line="360" w:lineRule="exact"/>
                    <w:ind w:firstLine="0" w:firstLineChars="0"/>
                    <w:jc w:val="center"/>
                    <w:rPr>
                      <w:sz w:val="21"/>
                      <w:szCs w:val="21"/>
                    </w:rPr>
                  </w:pPr>
                  <w:r>
                    <w:rPr>
                      <w:sz w:val="21"/>
                      <w:szCs w:val="21"/>
                    </w:rPr>
                    <w:t>西厂界</w:t>
                  </w:r>
                </w:p>
              </w:tc>
              <w:tc>
                <w:tcPr>
                  <w:tcW w:w="1011" w:type="dxa"/>
                  <w:vAlign w:val="center"/>
                </w:tcPr>
                <w:p>
                  <w:pPr>
                    <w:spacing w:line="360" w:lineRule="exact"/>
                    <w:ind w:firstLine="0" w:firstLineChars="0"/>
                    <w:jc w:val="center"/>
                    <w:rPr>
                      <w:sz w:val="21"/>
                      <w:szCs w:val="21"/>
                    </w:rPr>
                  </w:pPr>
                  <w:r>
                    <w:rPr>
                      <w:sz w:val="21"/>
                      <w:szCs w:val="21"/>
                    </w:rPr>
                    <w:t>昼</w:t>
                  </w:r>
                </w:p>
              </w:tc>
              <w:tc>
                <w:tcPr>
                  <w:tcW w:w="1863" w:type="dxa"/>
                  <w:vAlign w:val="center"/>
                </w:tcPr>
                <w:p>
                  <w:pPr>
                    <w:spacing w:line="360" w:lineRule="exact"/>
                    <w:ind w:firstLine="0" w:firstLineChars="0"/>
                    <w:jc w:val="center"/>
                    <w:rPr>
                      <w:sz w:val="21"/>
                      <w:szCs w:val="21"/>
                    </w:rPr>
                  </w:pPr>
                  <w:r>
                    <w:rPr>
                      <w:sz w:val="21"/>
                      <w:szCs w:val="21"/>
                    </w:rPr>
                    <w:t>1</w:t>
                  </w:r>
                </w:p>
              </w:tc>
              <w:tc>
                <w:tcPr>
                  <w:tcW w:w="1406" w:type="dxa"/>
                </w:tcPr>
                <w:p>
                  <w:pPr>
                    <w:spacing w:line="360" w:lineRule="exact"/>
                    <w:ind w:firstLine="0" w:firstLineChars="0"/>
                    <w:jc w:val="center"/>
                    <w:rPr>
                      <w:sz w:val="21"/>
                      <w:szCs w:val="21"/>
                    </w:rPr>
                  </w:pPr>
                  <w:r>
                    <w:rPr>
                      <w:rFonts w:hint="eastAsia"/>
                      <w:sz w:val="21"/>
                      <w:szCs w:val="21"/>
                    </w:rPr>
                    <w:t>4</w:t>
                  </w:r>
                  <w:r>
                    <w:rPr>
                      <w:sz w:val="21"/>
                      <w:szCs w:val="21"/>
                    </w:rPr>
                    <w:t>7</w:t>
                  </w:r>
                </w:p>
              </w:tc>
              <w:tc>
                <w:tcPr>
                  <w:tcW w:w="936" w:type="dxa"/>
                  <w:vAlign w:val="center"/>
                </w:tcPr>
                <w:p>
                  <w:pPr>
                    <w:spacing w:line="360" w:lineRule="exact"/>
                    <w:ind w:firstLine="0" w:firstLineChars="0"/>
                    <w:jc w:val="center"/>
                    <w:rPr>
                      <w:sz w:val="21"/>
                      <w:szCs w:val="21"/>
                    </w:rPr>
                  </w:pPr>
                  <w:r>
                    <w:rPr>
                      <w:sz w:val="21"/>
                      <w:szCs w:val="21"/>
                    </w:rPr>
                    <w:t>/</w:t>
                  </w:r>
                </w:p>
              </w:tc>
              <w:tc>
                <w:tcPr>
                  <w:tcW w:w="937" w:type="dxa"/>
                  <w:vAlign w:val="center"/>
                </w:tcPr>
                <w:p>
                  <w:pPr>
                    <w:spacing w:line="360" w:lineRule="exact"/>
                    <w:ind w:firstLine="0" w:firstLineChars="0"/>
                    <w:jc w:val="center"/>
                    <w:rPr>
                      <w:sz w:val="21"/>
                      <w:szCs w:val="21"/>
                    </w:rPr>
                  </w:pPr>
                  <w:r>
                    <w:rPr>
                      <w:sz w:val="21"/>
                      <w:szCs w:val="21"/>
                    </w:rPr>
                    <w:t>60</w:t>
                  </w:r>
                </w:p>
              </w:tc>
              <w:tc>
                <w:tcPr>
                  <w:tcW w:w="1237" w:type="dxa"/>
                  <w:vAlign w:val="center"/>
                </w:tcPr>
                <w:p>
                  <w:pPr>
                    <w:spacing w:line="360" w:lineRule="exact"/>
                    <w:ind w:firstLine="0" w:firstLineChars="0"/>
                    <w:jc w:val="center"/>
                    <w:rPr>
                      <w:sz w:val="21"/>
                      <w:szCs w:val="21"/>
                    </w:rPr>
                  </w:pPr>
                  <w:r>
                    <w:rPr>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1310" w:type="dxa"/>
                  <w:vAlign w:val="center"/>
                </w:tcPr>
                <w:p>
                  <w:pPr>
                    <w:spacing w:line="360" w:lineRule="exact"/>
                    <w:ind w:firstLine="0" w:firstLineChars="0"/>
                    <w:jc w:val="center"/>
                    <w:rPr>
                      <w:sz w:val="21"/>
                      <w:szCs w:val="21"/>
                    </w:rPr>
                  </w:pPr>
                  <w:r>
                    <w:rPr>
                      <w:sz w:val="21"/>
                      <w:szCs w:val="21"/>
                    </w:rPr>
                    <w:t>北厂界</w:t>
                  </w:r>
                </w:p>
              </w:tc>
              <w:tc>
                <w:tcPr>
                  <w:tcW w:w="1011" w:type="dxa"/>
                  <w:vAlign w:val="center"/>
                </w:tcPr>
                <w:p>
                  <w:pPr>
                    <w:spacing w:line="360" w:lineRule="exact"/>
                    <w:ind w:firstLine="0" w:firstLineChars="0"/>
                    <w:jc w:val="center"/>
                    <w:rPr>
                      <w:sz w:val="21"/>
                      <w:szCs w:val="21"/>
                    </w:rPr>
                  </w:pPr>
                  <w:r>
                    <w:rPr>
                      <w:sz w:val="21"/>
                      <w:szCs w:val="21"/>
                    </w:rPr>
                    <w:t>昼</w:t>
                  </w:r>
                </w:p>
              </w:tc>
              <w:tc>
                <w:tcPr>
                  <w:tcW w:w="1863" w:type="dxa"/>
                  <w:vAlign w:val="center"/>
                </w:tcPr>
                <w:p>
                  <w:pPr>
                    <w:spacing w:line="360" w:lineRule="exact"/>
                    <w:ind w:firstLine="0" w:firstLineChars="0"/>
                    <w:jc w:val="center"/>
                    <w:rPr>
                      <w:sz w:val="21"/>
                      <w:szCs w:val="21"/>
                    </w:rPr>
                  </w:pPr>
                  <w:r>
                    <w:rPr>
                      <w:sz w:val="21"/>
                      <w:szCs w:val="21"/>
                    </w:rPr>
                    <w:t>1</w:t>
                  </w:r>
                </w:p>
              </w:tc>
              <w:tc>
                <w:tcPr>
                  <w:tcW w:w="1406" w:type="dxa"/>
                </w:tcPr>
                <w:p>
                  <w:pPr>
                    <w:spacing w:line="360" w:lineRule="exact"/>
                    <w:ind w:firstLine="0" w:firstLineChars="0"/>
                    <w:jc w:val="center"/>
                    <w:rPr>
                      <w:sz w:val="21"/>
                      <w:szCs w:val="21"/>
                    </w:rPr>
                  </w:pPr>
                  <w:r>
                    <w:rPr>
                      <w:rFonts w:hint="eastAsia"/>
                      <w:sz w:val="21"/>
                      <w:szCs w:val="21"/>
                    </w:rPr>
                    <w:t>4</w:t>
                  </w:r>
                  <w:r>
                    <w:rPr>
                      <w:sz w:val="21"/>
                      <w:szCs w:val="21"/>
                    </w:rPr>
                    <w:t>5</w:t>
                  </w:r>
                </w:p>
              </w:tc>
              <w:tc>
                <w:tcPr>
                  <w:tcW w:w="936" w:type="dxa"/>
                  <w:vAlign w:val="center"/>
                </w:tcPr>
                <w:p>
                  <w:pPr>
                    <w:spacing w:line="360" w:lineRule="exact"/>
                    <w:ind w:firstLine="0" w:firstLineChars="0"/>
                    <w:jc w:val="center"/>
                    <w:rPr>
                      <w:sz w:val="21"/>
                      <w:szCs w:val="21"/>
                    </w:rPr>
                  </w:pPr>
                  <w:r>
                    <w:rPr>
                      <w:sz w:val="21"/>
                      <w:szCs w:val="21"/>
                    </w:rPr>
                    <w:t>/</w:t>
                  </w:r>
                </w:p>
              </w:tc>
              <w:tc>
                <w:tcPr>
                  <w:tcW w:w="937" w:type="dxa"/>
                  <w:vAlign w:val="center"/>
                </w:tcPr>
                <w:p>
                  <w:pPr>
                    <w:spacing w:line="360" w:lineRule="exact"/>
                    <w:ind w:firstLine="0" w:firstLineChars="0"/>
                    <w:jc w:val="center"/>
                    <w:rPr>
                      <w:sz w:val="21"/>
                      <w:szCs w:val="21"/>
                    </w:rPr>
                  </w:pPr>
                  <w:r>
                    <w:rPr>
                      <w:sz w:val="21"/>
                      <w:szCs w:val="21"/>
                    </w:rPr>
                    <w:t>60</w:t>
                  </w:r>
                </w:p>
              </w:tc>
              <w:tc>
                <w:tcPr>
                  <w:tcW w:w="1237" w:type="dxa"/>
                  <w:vAlign w:val="center"/>
                </w:tcPr>
                <w:p>
                  <w:pPr>
                    <w:spacing w:line="360" w:lineRule="exact"/>
                    <w:ind w:firstLine="0" w:firstLineChars="0"/>
                    <w:jc w:val="center"/>
                    <w:rPr>
                      <w:sz w:val="21"/>
                      <w:szCs w:val="21"/>
                    </w:rPr>
                  </w:pPr>
                  <w:r>
                    <w:rPr>
                      <w:sz w:val="21"/>
                      <w:szCs w:val="21"/>
                    </w:rPr>
                    <w:t>达标</w:t>
                  </w:r>
                </w:p>
              </w:tc>
            </w:tr>
          </w:tbl>
          <w:p>
            <w:pPr>
              <w:ind w:firstLine="480"/>
            </w:pPr>
            <w:r>
              <w:t>由上表可知，本项目厂界昼间噪声贡献值均可满足《工业企业厂界环境噪声排放标准》（GB12348－2008）2类标准要求，对厂区周围声环境影响较小。</w:t>
            </w:r>
          </w:p>
          <w:p>
            <w:pPr>
              <w:spacing w:line="500" w:lineRule="exact"/>
              <w:ind w:firstLine="196" w:firstLineChars="82"/>
              <w:rPr>
                <w:b/>
                <w:u w:val="single"/>
              </w:rPr>
            </w:pPr>
            <w:r>
              <w:rPr>
                <w:b/>
                <w:u w:val="single"/>
              </w:rPr>
              <w:t>5</w:t>
            </w:r>
            <w:r>
              <w:rPr>
                <w:rFonts w:hint="eastAsia"/>
                <w:b/>
                <w:u w:val="single"/>
              </w:rPr>
              <w:t>、土壤环境影响分析</w:t>
            </w:r>
          </w:p>
          <w:p>
            <w:pPr>
              <w:ind w:firstLine="482"/>
              <w:rPr>
                <w:b/>
                <w:u w:val="single"/>
              </w:rPr>
            </w:pPr>
            <w:r>
              <w:rPr>
                <w:rFonts w:hint="eastAsia"/>
                <w:b/>
                <w:u w:val="single"/>
              </w:rPr>
              <w:t>根据《环境影响评价技术导则</w:t>
            </w:r>
            <w:r>
              <w:rPr>
                <w:b/>
                <w:u w:val="single"/>
              </w:rPr>
              <w:t xml:space="preserve"> </w:t>
            </w:r>
            <w:r>
              <w:rPr>
                <w:rFonts w:hint="eastAsia"/>
                <w:b/>
                <w:u w:val="single"/>
              </w:rPr>
              <w:t>土壤环境》（</w:t>
            </w:r>
            <w:r>
              <w:rPr>
                <w:b/>
                <w:u w:val="single"/>
              </w:rPr>
              <w:t>GB964-2018</w:t>
            </w:r>
            <w:r>
              <w:rPr>
                <w:rFonts w:hint="eastAsia"/>
                <w:b/>
                <w:u w:val="single"/>
              </w:rPr>
              <w:t>）附录</w:t>
            </w:r>
            <w:r>
              <w:rPr>
                <w:b/>
                <w:u w:val="single"/>
              </w:rPr>
              <w:t>A</w:t>
            </w:r>
            <w:r>
              <w:rPr>
                <w:rFonts w:hint="eastAsia"/>
                <w:b/>
                <w:u w:val="single"/>
              </w:rPr>
              <w:t>土壤环境影响评价项目类别，</w:t>
            </w:r>
          </w:p>
          <w:p>
            <w:pPr>
              <w:ind w:firstLine="482"/>
              <w:rPr>
                <w:b/>
                <w:u w:val="single"/>
              </w:rPr>
            </w:pPr>
            <w:r>
              <w:rPr>
                <w:b/>
                <w:u w:val="single"/>
              </w:rPr>
              <w:t>根据《环境影响评价技术导则 土壤环境（试行）》（HJ964-2018）评价等级划分依据，建设项目评价等级由项目类别和环境敏感程度共同判定：</w:t>
            </w:r>
          </w:p>
          <w:p>
            <w:pPr>
              <w:ind w:firstLine="482"/>
              <w:rPr>
                <w:b/>
                <w:u w:val="single"/>
              </w:rPr>
            </w:pPr>
            <w:r>
              <w:rPr>
                <w:b/>
                <w:u w:val="single"/>
              </w:rPr>
              <w:t>（1）建设项目占地规模：大型（≥50hm</w:t>
            </w:r>
            <w:r>
              <w:rPr>
                <w:b/>
                <w:u w:val="single"/>
                <w:vertAlign w:val="superscript"/>
              </w:rPr>
              <w:t>2</w:t>
            </w:r>
            <w:r>
              <w:rPr>
                <w:b/>
                <w:u w:val="single"/>
              </w:rPr>
              <w:t>）、中型（5-50hm</w:t>
            </w:r>
            <w:r>
              <w:rPr>
                <w:b/>
                <w:u w:val="single"/>
                <w:vertAlign w:val="superscript"/>
              </w:rPr>
              <w:t>2</w:t>
            </w:r>
            <w:r>
              <w:rPr>
                <w:b/>
                <w:u w:val="single"/>
              </w:rPr>
              <w:t>）、小型（≤5hm</w:t>
            </w:r>
            <w:r>
              <w:rPr>
                <w:b/>
                <w:u w:val="single"/>
                <w:vertAlign w:val="superscript"/>
              </w:rPr>
              <w:t>2</w:t>
            </w:r>
            <w:r>
              <w:rPr>
                <w:b/>
                <w:u w:val="single"/>
              </w:rPr>
              <w:t>）。本项目占地面积4000m</w:t>
            </w:r>
            <w:r>
              <w:rPr>
                <w:b/>
                <w:u w:val="single"/>
                <w:vertAlign w:val="superscript"/>
              </w:rPr>
              <w:t>2</w:t>
            </w:r>
            <w:r>
              <w:rPr>
                <w:b/>
                <w:u w:val="single"/>
              </w:rPr>
              <w:t>，占地规模属于</w:t>
            </w:r>
            <w:r>
              <w:rPr>
                <w:rFonts w:hint="eastAsia"/>
                <w:b/>
                <w:u w:val="single"/>
              </w:rPr>
              <w:t>小</w:t>
            </w:r>
            <w:r>
              <w:rPr>
                <w:b/>
                <w:u w:val="single"/>
              </w:rPr>
              <w:t>型。</w:t>
            </w:r>
          </w:p>
          <w:p>
            <w:pPr>
              <w:ind w:firstLine="482"/>
              <w:rPr>
                <w:b/>
                <w:u w:val="single"/>
              </w:rPr>
            </w:pPr>
            <w:r>
              <w:rPr>
                <w:b/>
                <w:u w:val="single"/>
              </w:rPr>
              <w:t>（2）土壤环境影响评价项目类别：根据《环境影响评价技术导则 土壤环境（试行）》（HJ964-2018）附录A“土壤环境影响评价项目类别”，本项目</w:t>
            </w:r>
            <w:r>
              <w:rPr>
                <w:rFonts w:hint="eastAsia"/>
                <w:b/>
                <w:u w:val="single"/>
              </w:rPr>
              <w:t>为铝板加工，</w:t>
            </w:r>
            <w:r>
              <w:rPr>
                <w:b/>
                <w:u w:val="single"/>
              </w:rPr>
              <w:t>行业类别属于设备制造、金属制品、汽车制造及其他用品制造中的“其他”，因此本项目土壤环境影响评价项目类别为</w:t>
            </w:r>
            <w:r>
              <w:rPr>
                <w:b/>
                <w:u w:val="single"/>
              </w:rPr>
              <w:fldChar w:fldCharType="begin"/>
            </w:r>
            <w:r>
              <w:rPr>
                <w:b/>
                <w:u w:val="single"/>
              </w:rPr>
              <w:instrText xml:space="preserve"> = 3 \* ROMAN </w:instrText>
            </w:r>
            <w:r>
              <w:rPr>
                <w:b/>
                <w:u w:val="single"/>
              </w:rPr>
              <w:fldChar w:fldCharType="separate"/>
            </w:r>
            <w:r>
              <w:rPr>
                <w:b/>
                <w:u w:val="single"/>
              </w:rPr>
              <w:t>III</w:t>
            </w:r>
            <w:r>
              <w:rPr>
                <w:b/>
                <w:u w:val="single"/>
              </w:rPr>
              <w:fldChar w:fldCharType="end"/>
            </w:r>
            <w:r>
              <w:rPr>
                <w:b/>
                <w:u w:val="single"/>
              </w:rPr>
              <w:t>类。</w:t>
            </w:r>
          </w:p>
          <w:p>
            <w:pPr>
              <w:ind w:firstLine="482"/>
              <w:rPr>
                <w:b/>
                <w:u w:val="single"/>
              </w:rPr>
            </w:pPr>
            <w:r>
              <w:rPr>
                <w:b/>
                <w:u w:val="single"/>
              </w:rPr>
              <w:t>（3）建设项目土壤环境影响类型：根据《环境影响评价技术导则 土壤环境（试行）》（HJ964-2018），建设项目土壤环境影响类型为污染影响</w:t>
            </w:r>
            <w:r>
              <w:rPr>
                <w:rFonts w:hint="eastAsia"/>
                <w:b/>
                <w:u w:val="single"/>
              </w:rPr>
              <w:t xml:space="preserve">型 </w:t>
            </w:r>
            <w:r>
              <w:rPr>
                <w:b/>
                <w:u w:val="single"/>
              </w:rPr>
              <w:t>。</w:t>
            </w:r>
          </w:p>
          <w:p>
            <w:pPr>
              <w:ind w:firstLine="482"/>
              <w:rPr>
                <w:b/>
                <w:u w:val="single"/>
              </w:rPr>
            </w:pPr>
            <w:r>
              <w:rPr>
                <w:b/>
                <w:u w:val="single"/>
              </w:rPr>
              <w:t>（4）建设项目所在地周边的土壤环境敏感程度：本项目生产过程中涉及大气沉降污染途径，主要为</w:t>
            </w:r>
            <w:r>
              <w:rPr>
                <w:rFonts w:hint="eastAsia"/>
                <w:b/>
                <w:u w:val="single"/>
              </w:rPr>
              <w:t>切割、打磨和焊接工序排放的颗粒物</w:t>
            </w:r>
            <w:r>
              <w:rPr>
                <w:b/>
                <w:u w:val="single"/>
              </w:rPr>
              <w:t>，根据大气环境影响预测，</w:t>
            </w:r>
            <w:r>
              <w:rPr>
                <w:rFonts w:hint="eastAsia"/>
                <w:b/>
                <w:u w:val="single"/>
              </w:rPr>
              <w:t>本项目颗粒物</w:t>
            </w:r>
            <w:r>
              <w:rPr>
                <w:b/>
                <w:u w:val="single"/>
              </w:rPr>
              <w:t>最大落地浓度</w:t>
            </w:r>
            <w:r>
              <w:rPr>
                <w:rFonts w:hint="eastAsia"/>
                <w:b/>
                <w:u w:val="single"/>
              </w:rPr>
              <w:t>最远处为</w:t>
            </w:r>
            <w:r>
              <w:rPr>
                <w:b/>
                <w:u w:val="single"/>
              </w:rPr>
              <w:t>排放源</w:t>
            </w:r>
            <w:r>
              <w:rPr>
                <w:rFonts w:hint="eastAsia"/>
                <w:b/>
                <w:u w:val="single"/>
              </w:rPr>
              <w:t>主导风向下风向5</w:t>
            </w:r>
            <w:r>
              <w:rPr>
                <w:b/>
                <w:u w:val="single"/>
              </w:rPr>
              <w:t>7m，根据现场调查，最大落地浓度范围内</w:t>
            </w:r>
            <w:r>
              <w:rPr>
                <w:rFonts w:hint="eastAsia"/>
                <w:b/>
                <w:u w:val="single"/>
              </w:rPr>
              <w:t>均为工业企业</w:t>
            </w:r>
            <w:r>
              <w:rPr>
                <w:b/>
                <w:u w:val="single"/>
              </w:rPr>
              <w:t>，影响范围内不存在耕地、园地、牧草地、饮用水水源地，不存在居民区、学校、医院、疗养院、养老院等土壤环境敏感目标，因此建设项目所在周边土壤环境敏感程度为不敏感。</w:t>
            </w:r>
          </w:p>
          <w:p>
            <w:pPr>
              <w:ind w:firstLine="482"/>
              <w:rPr>
                <w:b/>
                <w:u w:val="single"/>
              </w:rPr>
            </w:pPr>
            <w:r>
              <w:rPr>
                <w:rFonts w:hint="eastAsia"/>
                <w:b/>
                <w:u w:val="single"/>
              </w:rPr>
              <w:t>项目土壤环境影响评价等级判定表见下表。</w:t>
            </w:r>
          </w:p>
          <w:p>
            <w:pPr>
              <w:pStyle w:val="7"/>
              <w:rPr>
                <w:b/>
                <w:u w:val="single"/>
              </w:rPr>
            </w:pPr>
            <w:r>
              <w:rPr>
                <w:b/>
                <w:u w:val="single"/>
              </w:rPr>
              <w:t>污染影响型评价工作等级划分表</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206"/>
              <w:gridCol w:w="702"/>
              <w:gridCol w:w="727"/>
              <w:gridCol w:w="730"/>
              <w:gridCol w:w="728"/>
              <w:gridCol w:w="727"/>
              <w:gridCol w:w="727"/>
              <w:gridCol w:w="727"/>
              <w:gridCol w:w="728"/>
              <w:gridCol w:w="72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46" w:hRule="atLeast"/>
                <w:jc w:val="center"/>
              </w:trPr>
              <w:tc>
                <w:tcPr>
                  <w:tcW w:w="2207" w:type="dxa"/>
                  <w:vMerge w:val="restart"/>
                  <w:tcBorders>
                    <w:tl2br w:val="nil"/>
                    <w:tr2bl w:val="nil"/>
                  </w:tcBorders>
                  <w:vAlign w:val="center"/>
                </w:tcPr>
                <w:p>
                  <w:pPr>
                    <w:tabs>
                      <w:tab w:val="left" w:pos="1680"/>
                      <w:tab w:val="left" w:pos="3465"/>
                    </w:tabs>
                    <w:spacing w:line="240" w:lineRule="auto"/>
                    <w:ind w:firstLine="0" w:firstLineChars="0"/>
                    <w:jc w:val="right"/>
                    <w:rPr>
                      <w:b/>
                      <w:snapToGrid w:val="0"/>
                      <w:sz w:val="21"/>
                      <w:szCs w:val="21"/>
                      <w:u w:val="single"/>
                    </w:rPr>
                  </w:pPr>
                  <w:r>
                    <w:rPr>
                      <w:rFonts w:eastAsia="黑体"/>
                      <w:b/>
                      <w:sz w:val="21"/>
                      <w:szCs w:val="20"/>
                      <w:u w:val="single"/>
                    </w:rPr>
                    <mc:AlternateContent>
                      <mc:Choice Requires="wps">
                        <w:drawing>
                          <wp:anchor distT="0" distB="0" distL="114300" distR="114300" simplePos="0" relativeHeight="251643904" behindDoc="0" locked="0" layoutInCell="1" allowOverlap="1">
                            <wp:simplePos x="0" y="0"/>
                            <wp:positionH relativeFrom="column">
                              <wp:posOffset>509270</wp:posOffset>
                            </wp:positionH>
                            <wp:positionV relativeFrom="paragraph">
                              <wp:posOffset>-3810</wp:posOffset>
                            </wp:positionV>
                            <wp:extent cx="836930" cy="600075"/>
                            <wp:effectExtent l="13970" t="5715" r="6350" b="1333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836930" cy="600075"/>
                                    </a:xfrm>
                                    <a:prstGeom prst="straightConnector1">
                                      <a:avLst/>
                                    </a:prstGeom>
                                    <a:noFill/>
                                    <a:ln w="9525" cmpd="sng">
                                      <a:solidFill>
                                        <a:srgbClr val="000000"/>
                                      </a:solidFill>
                                      <a:bevel/>
                                    </a:ln>
                                  </wps:spPr>
                                  <wps:bodyPr/>
                                </wps:wsp>
                              </a:graphicData>
                            </a:graphic>
                          </wp:anchor>
                        </w:drawing>
                      </mc:Choice>
                      <mc:Fallback>
                        <w:pict>
                          <v:shape id="_x0000_s1026" o:spid="_x0000_s1026" o:spt="32" type="#_x0000_t32" style="position:absolute;left:0pt;margin-left:40.1pt;margin-top:-0.3pt;height:47.25pt;width:65.9pt;z-index:251643904;mso-width-relative:page;mso-height-relative:page;" filled="f" stroked="t" coordsize="21600,21600" o:gfxdata="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Lyda2AAA&#10;AAcBAAAPAAAAAAAAAAEAIAAAACIAAABkcnMvZG93bnJldi54bWxQSwECFAAUAAAACACHTuJA6oky&#10;aOUBAAB/AwAADgAAAAAAAAABACAAAAAnAQAAZHJzL2Uyb0RvYy54bWxQSwUGAAAAAAYABgBZAQAA&#10;fgUAAAAA&#10;">
                            <v:fill on="f" focussize="0,0"/>
                            <v:stroke color="#000000" joinstyle="bevel"/>
                            <v:imagedata o:title=""/>
                            <o:lock v:ext="edit" aspectratio="f"/>
                          </v:shape>
                        </w:pict>
                      </mc:Fallback>
                    </mc:AlternateContent>
                  </w:r>
                  <w:r>
                    <w:rPr>
                      <w:rFonts w:hint="eastAsia"/>
                      <w:b/>
                      <w:snapToGrid w:val="0"/>
                      <w:sz w:val="21"/>
                      <w:szCs w:val="21"/>
                      <w:u w:val="single"/>
                    </w:rPr>
                    <w:t>占地规模</w:t>
                  </w:r>
                </w:p>
                <w:p>
                  <w:pPr>
                    <w:tabs>
                      <w:tab w:val="left" w:pos="1680"/>
                      <w:tab w:val="left" w:pos="3465"/>
                    </w:tabs>
                    <w:spacing w:line="240" w:lineRule="auto"/>
                    <w:ind w:firstLine="0" w:firstLineChars="0"/>
                    <w:rPr>
                      <w:b/>
                      <w:snapToGrid w:val="0"/>
                      <w:sz w:val="21"/>
                      <w:szCs w:val="21"/>
                      <w:u w:val="single"/>
                    </w:rPr>
                  </w:pPr>
                  <w:r>
                    <w:rPr>
                      <w:rFonts w:eastAsia="黑体"/>
                      <w:b/>
                      <w:sz w:val="21"/>
                      <w:szCs w:val="20"/>
                      <w:u w:val="single"/>
                    </w:rPr>
                    <mc:AlternateContent>
                      <mc:Choice Requires="wps">
                        <w:drawing>
                          <wp:anchor distT="0" distB="0" distL="114300" distR="114300" simplePos="0" relativeHeight="251644928" behindDoc="0" locked="0" layoutInCell="1" allowOverlap="1">
                            <wp:simplePos x="0" y="0"/>
                            <wp:positionH relativeFrom="column">
                              <wp:posOffset>-79375</wp:posOffset>
                            </wp:positionH>
                            <wp:positionV relativeFrom="paragraph">
                              <wp:posOffset>135890</wp:posOffset>
                            </wp:positionV>
                            <wp:extent cx="1425575" cy="255905"/>
                            <wp:effectExtent l="6350" t="12065" r="6350" b="825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425575" cy="255905"/>
                                    </a:xfrm>
                                    <a:prstGeom prst="straightConnector1">
                                      <a:avLst/>
                                    </a:prstGeom>
                                    <a:noFill/>
                                    <a:ln w="9525" cmpd="sng">
                                      <a:solidFill>
                                        <a:srgbClr val="000000"/>
                                      </a:solidFill>
                                      <a:bevel/>
                                    </a:ln>
                                  </wps:spPr>
                                  <wps:bodyPr/>
                                </wps:wsp>
                              </a:graphicData>
                            </a:graphic>
                          </wp:anchor>
                        </w:drawing>
                      </mc:Choice>
                      <mc:Fallback>
                        <w:pict>
                          <v:shape id="_x0000_s1026" o:spid="_x0000_s1026" o:spt="32" type="#_x0000_t32" style="position:absolute;left:0pt;margin-left:-6.25pt;margin-top:10.7pt;height:20.15pt;width:112.25pt;z-index:251644928;mso-width-relative:page;mso-height-relative:page;" filled="f" stroked="t" coordsize="21600,21600" o:gfxdata="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ExTn2QAA&#10;AAkBAAAPAAAAAAAAAAEAIAAAACIAAABkcnMvZG93bnJldi54bWxQSwECFAAUAAAACACHTuJAz62o&#10;Y+QBAACAAwAADgAAAAAAAAABACAAAAAoAQAAZHJzL2Uyb0RvYy54bWxQSwUGAAAAAAYABgBZAQAA&#10;fgUAAAAA&#10;">
                            <v:fill on="f" focussize="0,0"/>
                            <v:stroke color="#000000" joinstyle="bevel"/>
                            <v:imagedata o:title=""/>
                            <o:lock v:ext="edit" aspectratio="f"/>
                          </v:shape>
                        </w:pict>
                      </mc:Fallback>
                    </mc:AlternateContent>
                  </w:r>
                  <w:r>
                    <w:rPr>
                      <w:rFonts w:hint="eastAsia"/>
                      <w:b/>
                      <w:snapToGrid w:val="0"/>
                      <w:sz w:val="21"/>
                      <w:szCs w:val="21"/>
                      <w:u w:val="single"/>
                    </w:rPr>
                    <w:t>评价工作等级</w:t>
                  </w:r>
                </w:p>
                <w:p>
                  <w:pPr>
                    <w:tabs>
                      <w:tab w:val="left" w:pos="1680"/>
                      <w:tab w:val="left" w:pos="3465"/>
                    </w:tabs>
                    <w:spacing w:line="240" w:lineRule="auto"/>
                    <w:ind w:firstLine="0" w:firstLineChars="0"/>
                    <w:jc w:val="both"/>
                    <w:rPr>
                      <w:b/>
                      <w:snapToGrid w:val="0"/>
                      <w:sz w:val="21"/>
                      <w:szCs w:val="21"/>
                      <w:u w:val="single"/>
                    </w:rPr>
                  </w:pPr>
                  <w:r>
                    <w:rPr>
                      <w:rFonts w:hint="eastAsia"/>
                      <w:b/>
                      <w:snapToGrid w:val="0"/>
                      <w:sz w:val="21"/>
                      <w:szCs w:val="21"/>
                      <w:u w:val="single"/>
                    </w:rPr>
                    <w:t>敏感程度</w:t>
                  </w:r>
                </w:p>
              </w:tc>
              <w:tc>
                <w:tcPr>
                  <w:tcW w:w="2159" w:type="dxa"/>
                  <w:gridSpan w:val="3"/>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ascii="宋体" w:hAnsi="宋体" w:cs="宋体"/>
                      <w:b/>
                      <w:snapToGrid w:val="0"/>
                      <w:sz w:val="21"/>
                      <w:szCs w:val="21"/>
                      <w:u w:val="single"/>
                    </w:rPr>
                    <w:t>Ⅰ类</w:t>
                  </w:r>
                </w:p>
              </w:tc>
              <w:tc>
                <w:tcPr>
                  <w:tcW w:w="2182" w:type="dxa"/>
                  <w:gridSpan w:val="3"/>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ascii="宋体" w:hAnsi="宋体" w:cs="宋体"/>
                      <w:b/>
                      <w:snapToGrid w:val="0"/>
                      <w:sz w:val="21"/>
                      <w:szCs w:val="21"/>
                      <w:u w:val="single"/>
                    </w:rPr>
                    <w:t>Ⅱ类</w:t>
                  </w:r>
                </w:p>
              </w:tc>
              <w:tc>
                <w:tcPr>
                  <w:tcW w:w="2183" w:type="dxa"/>
                  <w:gridSpan w:val="3"/>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ascii="宋体" w:hAnsi="宋体" w:cs="宋体"/>
                      <w:b/>
                      <w:snapToGrid w:val="0"/>
                      <w:sz w:val="21"/>
                      <w:szCs w:val="21"/>
                      <w:u w:val="single"/>
                    </w:rPr>
                    <w:t>Ⅲ类</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7" w:hRule="atLeast"/>
                <w:jc w:val="center"/>
              </w:trPr>
              <w:tc>
                <w:tcPr>
                  <w:tcW w:w="2207" w:type="dxa"/>
                  <w:vMerge w:val="continue"/>
                  <w:tcBorders>
                    <w:tl2br w:val="nil"/>
                    <w:tr2bl w:val="nil"/>
                  </w:tcBorders>
                  <w:vAlign w:val="center"/>
                </w:tcPr>
                <w:p>
                  <w:pPr>
                    <w:tabs>
                      <w:tab w:val="left" w:pos="1680"/>
                      <w:tab w:val="left" w:pos="3465"/>
                    </w:tabs>
                    <w:spacing w:line="240" w:lineRule="auto"/>
                    <w:ind w:firstLine="0" w:firstLineChars="0"/>
                    <w:jc w:val="center"/>
                    <w:rPr>
                      <w:rFonts w:eastAsia="黑体"/>
                      <w:b/>
                      <w:szCs w:val="20"/>
                      <w:u w:val="single"/>
                    </w:rPr>
                  </w:pPr>
                </w:p>
              </w:tc>
              <w:tc>
                <w:tcPr>
                  <w:tcW w:w="702"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大</w:t>
                  </w:r>
                </w:p>
              </w:tc>
              <w:tc>
                <w:tcPr>
                  <w:tcW w:w="727"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中</w:t>
                  </w:r>
                </w:p>
              </w:tc>
              <w:tc>
                <w:tcPr>
                  <w:tcW w:w="730"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小</w:t>
                  </w:r>
                </w:p>
              </w:tc>
              <w:tc>
                <w:tcPr>
                  <w:tcW w:w="728"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大</w:t>
                  </w:r>
                </w:p>
              </w:tc>
              <w:tc>
                <w:tcPr>
                  <w:tcW w:w="727"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中</w:t>
                  </w:r>
                </w:p>
              </w:tc>
              <w:tc>
                <w:tcPr>
                  <w:tcW w:w="727"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小</w:t>
                  </w:r>
                </w:p>
              </w:tc>
              <w:tc>
                <w:tcPr>
                  <w:tcW w:w="727"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大</w:t>
                  </w:r>
                </w:p>
              </w:tc>
              <w:tc>
                <w:tcPr>
                  <w:tcW w:w="728"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中</w:t>
                  </w:r>
                </w:p>
              </w:tc>
              <w:tc>
                <w:tcPr>
                  <w:tcW w:w="728"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207"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敏感</w:t>
                  </w:r>
                </w:p>
              </w:tc>
              <w:tc>
                <w:tcPr>
                  <w:tcW w:w="702"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一级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一级</w:t>
                  </w:r>
                </w:p>
              </w:tc>
              <w:tc>
                <w:tcPr>
                  <w:tcW w:w="730"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一级</w:t>
                  </w:r>
                </w:p>
              </w:tc>
              <w:tc>
                <w:tcPr>
                  <w:tcW w:w="728"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二级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二级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二级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三级</w:t>
                  </w:r>
                </w:p>
              </w:tc>
              <w:tc>
                <w:tcPr>
                  <w:tcW w:w="728"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三级</w:t>
                  </w:r>
                </w:p>
              </w:tc>
              <w:tc>
                <w:tcPr>
                  <w:tcW w:w="728"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三级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207" w:type="dxa"/>
                  <w:tcBorders>
                    <w:tl2br w:val="nil"/>
                    <w:tr2bl w:val="nil"/>
                  </w:tcBorders>
                  <w:vAlign w:val="center"/>
                </w:tcPr>
                <w:p>
                  <w:pPr>
                    <w:tabs>
                      <w:tab w:val="left" w:pos="1680"/>
                      <w:tab w:val="left" w:pos="3465"/>
                    </w:tabs>
                    <w:spacing w:line="240" w:lineRule="auto"/>
                    <w:ind w:firstLine="0" w:firstLineChars="0"/>
                    <w:jc w:val="center"/>
                    <w:rPr>
                      <w:b/>
                      <w:snapToGrid w:val="0"/>
                      <w:sz w:val="21"/>
                      <w:szCs w:val="21"/>
                      <w:u w:val="single"/>
                    </w:rPr>
                  </w:pPr>
                  <w:r>
                    <w:rPr>
                      <w:rFonts w:hint="eastAsia"/>
                      <w:b/>
                      <w:snapToGrid w:val="0"/>
                      <w:sz w:val="21"/>
                      <w:szCs w:val="21"/>
                      <w:u w:val="single"/>
                    </w:rPr>
                    <w:t>较敏感</w:t>
                  </w:r>
                </w:p>
              </w:tc>
              <w:tc>
                <w:tcPr>
                  <w:tcW w:w="702"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一级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一级</w:t>
                  </w:r>
                </w:p>
              </w:tc>
              <w:tc>
                <w:tcPr>
                  <w:tcW w:w="730"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二级</w:t>
                  </w:r>
                </w:p>
              </w:tc>
              <w:tc>
                <w:tcPr>
                  <w:tcW w:w="728"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二级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二级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三级</w:t>
                  </w:r>
                </w:p>
              </w:tc>
              <w:tc>
                <w:tcPr>
                  <w:tcW w:w="727"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三级</w:t>
                  </w:r>
                </w:p>
              </w:tc>
              <w:tc>
                <w:tcPr>
                  <w:tcW w:w="728"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sz w:val="21"/>
                      <w:szCs w:val="21"/>
                      <w:u w:val="single"/>
                    </w:rPr>
                    <w:t>三级</w:t>
                  </w:r>
                </w:p>
              </w:tc>
              <w:tc>
                <w:tcPr>
                  <w:tcW w:w="728" w:type="dxa"/>
                  <w:tcBorders>
                    <w:tl2br w:val="nil"/>
                    <w:tr2bl w:val="nil"/>
                  </w:tcBorders>
                  <w:vAlign w:val="center"/>
                </w:tcPr>
                <w:p>
                  <w:pPr>
                    <w:spacing w:line="240" w:lineRule="auto"/>
                    <w:ind w:firstLine="0" w:firstLineChars="0"/>
                    <w:jc w:val="center"/>
                    <w:rPr>
                      <w:b/>
                      <w:snapToGrid w:val="0"/>
                      <w:sz w:val="21"/>
                      <w:szCs w:val="21"/>
                      <w:u w:val="single"/>
                    </w:rPr>
                  </w:pPr>
                  <w:r>
                    <w:rPr>
                      <w:rFonts w:hint="eastAsia" w:ascii="Georgia" w:hAnsi="Georgia"/>
                      <w:b/>
                      <w:snapToGrid w:val="0"/>
                      <w:kern w:val="0"/>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207" w:type="dxa"/>
                  <w:tcBorders>
                    <w:tl2br w:val="nil"/>
                    <w:tr2bl w:val="nil"/>
                  </w:tcBorders>
                  <w:shd w:val="clear" w:color="auto" w:fill="auto"/>
                  <w:vAlign w:val="center"/>
                </w:tcPr>
                <w:p>
                  <w:pPr>
                    <w:tabs>
                      <w:tab w:val="left" w:pos="1680"/>
                      <w:tab w:val="left" w:pos="3465"/>
                    </w:tabs>
                    <w:spacing w:line="240" w:lineRule="auto"/>
                    <w:ind w:firstLine="0" w:firstLineChars="0"/>
                    <w:jc w:val="center"/>
                    <w:rPr>
                      <w:b/>
                      <w:snapToGrid w:val="0"/>
                      <w:kern w:val="0"/>
                      <w:sz w:val="21"/>
                      <w:szCs w:val="21"/>
                      <w:u w:val="single"/>
                    </w:rPr>
                  </w:pPr>
                  <w:r>
                    <w:rPr>
                      <w:rFonts w:hint="eastAsia"/>
                      <w:b/>
                      <w:snapToGrid w:val="0"/>
                      <w:kern w:val="0"/>
                      <w:sz w:val="21"/>
                      <w:szCs w:val="21"/>
                      <w:u w:val="single"/>
                    </w:rPr>
                    <w:t>不敏感</w:t>
                  </w:r>
                </w:p>
              </w:tc>
              <w:tc>
                <w:tcPr>
                  <w:tcW w:w="702"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一级</w:t>
                  </w:r>
                </w:p>
              </w:tc>
              <w:tc>
                <w:tcPr>
                  <w:tcW w:w="727"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二级</w:t>
                  </w:r>
                </w:p>
              </w:tc>
              <w:tc>
                <w:tcPr>
                  <w:tcW w:w="730"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二级</w:t>
                  </w:r>
                </w:p>
              </w:tc>
              <w:tc>
                <w:tcPr>
                  <w:tcW w:w="728"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二级</w:t>
                  </w:r>
                </w:p>
              </w:tc>
              <w:tc>
                <w:tcPr>
                  <w:tcW w:w="727"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三级</w:t>
                  </w:r>
                </w:p>
              </w:tc>
              <w:tc>
                <w:tcPr>
                  <w:tcW w:w="727"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三级</w:t>
                  </w:r>
                </w:p>
              </w:tc>
              <w:tc>
                <w:tcPr>
                  <w:tcW w:w="727" w:type="dxa"/>
                  <w:tcBorders>
                    <w:tl2br w:val="nil"/>
                    <w:tr2bl w:val="nil"/>
                  </w:tcBorders>
                  <w:shd w:val="clear" w:color="auto" w:fill="auto"/>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sz w:val="21"/>
                      <w:szCs w:val="21"/>
                      <w:u w:val="single"/>
                    </w:rPr>
                    <w:t>三级</w:t>
                  </w:r>
                </w:p>
              </w:tc>
              <w:tc>
                <w:tcPr>
                  <w:tcW w:w="728" w:type="dxa"/>
                  <w:tcBorders>
                    <w:tl2br w:val="nil"/>
                    <w:tr2bl w:val="nil"/>
                  </w:tcBorders>
                  <w:shd w:val="clear" w:color="auto" w:fill="EEECE1"/>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kern w:val="0"/>
                      <w:sz w:val="21"/>
                      <w:szCs w:val="21"/>
                      <w:u w:val="single"/>
                    </w:rPr>
                    <w:t>-</w:t>
                  </w:r>
                </w:p>
              </w:tc>
              <w:tc>
                <w:tcPr>
                  <w:tcW w:w="728" w:type="dxa"/>
                  <w:tcBorders>
                    <w:tl2br w:val="nil"/>
                    <w:tr2bl w:val="nil"/>
                  </w:tcBorders>
                  <w:vAlign w:val="center"/>
                </w:tcPr>
                <w:p>
                  <w:pPr>
                    <w:spacing w:line="240" w:lineRule="auto"/>
                    <w:ind w:firstLine="0" w:firstLineChars="0"/>
                    <w:jc w:val="center"/>
                    <w:rPr>
                      <w:b/>
                      <w:snapToGrid w:val="0"/>
                      <w:kern w:val="0"/>
                      <w:sz w:val="21"/>
                      <w:szCs w:val="21"/>
                      <w:u w:val="single"/>
                    </w:rPr>
                  </w:pPr>
                  <w:r>
                    <w:rPr>
                      <w:rFonts w:hint="eastAsia" w:ascii="Georgia" w:hAnsi="Georgia"/>
                      <w:b/>
                      <w:snapToGrid w:val="0"/>
                      <w:kern w:val="0"/>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8731" w:type="dxa"/>
                  <w:gridSpan w:val="10"/>
                  <w:tcBorders>
                    <w:tl2br w:val="nil"/>
                    <w:tr2bl w:val="nil"/>
                  </w:tcBorders>
                  <w:vAlign w:val="center"/>
                </w:tcPr>
                <w:p>
                  <w:pPr>
                    <w:tabs>
                      <w:tab w:val="left" w:pos="1680"/>
                      <w:tab w:val="left" w:pos="3465"/>
                    </w:tabs>
                    <w:spacing w:line="240" w:lineRule="auto"/>
                    <w:ind w:firstLine="0" w:firstLineChars="0"/>
                    <w:rPr>
                      <w:b/>
                      <w:snapToGrid w:val="0"/>
                      <w:kern w:val="0"/>
                      <w:sz w:val="21"/>
                      <w:szCs w:val="21"/>
                      <w:u w:val="single"/>
                    </w:rPr>
                  </w:pPr>
                  <w:r>
                    <w:rPr>
                      <w:rFonts w:hint="eastAsia"/>
                      <w:b/>
                      <w:snapToGrid w:val="0"/>
                      <w:kern w:val="0"/>
                      <w:sz w:val="21"/>
                      <w:szCs w:val="21"/>
                      <w:u w:val="single"/>
                    </w:rPr>
                    <w:t>注：“-”表示可不开展土壤环境影响评价工作</w:t>
                  </w:r>
                </w:p>
              </w:tc>
            </w:tr>
          </w:tbl>
          <w:p>
            <w:pPr>
              <w:ind w:firstLine="482"/>
              <w:rPr>
                <w:b/>
                <w:u w:val="single"/>
              </w:rPr>
            </w:pPr>
            <w:r>
              <w:rPr>
                <w:rFonts w:hint="eastAsia"/>
                <w:b/>
                <w:u w:val="single"/>
              </w:rPr>
              <w:t>由</w:t>
            </w:r>
            <w:r>
              <w:rPr>
                <w:b/>
                <w:u w:val="single"/>
              </w:rPr>
              <w:t>上表可知，本项目属于土壤环境</w:t>
            </w:r>
            <w:r>
              <w:rPr>
                <w:rFonts w:hint="eastAsia"/>
                <w:b/>
                <w:u w:val="single"/>
              </w:rPr>
              <w:t>不</w:t>
            </w:r>
            <w:r>
              <w:rPr>
                <w:b/>
                <w:u w:val="single"/>
              </w:rPr>
              <w:t>敏感地区</w:t>
            </w:r>
            <w:r>
              <w:rPr>
                <w:rFonts w:hint="eastAsia"/>
                <w:b/>
                <w:u w:val="single"/>
              </w:rPr>
              <w:t>，占地面积属于小型</w:t>
            </w:r>
            <w:r>
              <w:rPr>
                <w:b/>
                <w:u w:val="single"/>
              </w:rPr>
              <w:t>。对照《环境影响评价技术导则 土壤环境（试行）》（HJ964-2018）污染影响型评价工作等级划分表可知，本项目可不开展土壤环境评价工作。</w:t>
            </w:r>
          </w:p>
          <w:p>
            <w:pPr>
              <w:spacing w:line="500" w:lineRule="exact"/>
              <w:ind w:firstLine="196" w:firstLineChars="82"/>
              <w:rPr>
                <w:b/>
              </w:rPr>
            </w:pPr>
            <w:r>
              <w:rPr>
                <w:rFonts w:hint="eastAsia"/>
                <w:b/>
              </w:rPr>
              <w:t>6、环境管理</w:t>
            </w:r>
          </w:p>
          <w:p>
            <w:pPr>
              <w:ind w:firstLine="482"/>
              <w:rPr>
                <w:b/>
                <w:bCs/>
                <w:u w:val="single"/>
              </w:rPr>
            </w:pPr>
            <w:r>
              <w:rPr>
                <w:b/>
                <w:bCs/>
                <w:u w:val="single"/>
              </w:rPr>
              <w:t>为</w:t>
            </w:r>
            <w:r>
              <w:rPr>
                <w:rFonts w:hint="eastAsia"/>
                <w:b/>
                <w:bCs/>
                <w:u w:val="single"/>
              </w:rPr>
              <w:t>掌握企业的废气排放情况，项目每年对项目排气筒进行监测，每次连续监测两天</w:t>
            </w:r>
            <w:r>
              <w:rPr>
                <w:b/>
                <w:bCs/>
                <w:u w:val="single"/>
              </w:rPr>
              <w:t>，建议企业将监测工作委托有资质单位进行。</w:t>
            </w:r>
          </w:p>
          <w:p>
            <w:pPr>
              <w:ind w:firstLine="482"/>
              <w:rPr>
                <w:b/>
                <w:bCs/>
                <w:u w:val="single"/>
              </w:rPr>
            </w:pPr>
            <w:r>
              <w:rPr>
                <w:rFonts w:hint="eastAsia"/>
                <w:b/>
                <w:bCs/>
                <w:u w:val="single"/>
              </w:rPr>
              <w:t>按照</w:t>
            </w:r>
            <w:r>
              <w:rPr>
                <w:b/>
                <w:bCs/>
                <w:u w:val="single"/>
              </w:rPr>
              <w:t>《河南省涉气排污单位污染治理设施用电监管技术指南(试行)》要求安装环保用电监控系统并与省厅平台联网。</w:t>
            </w:r>
          </w:p>
          <w:p>
            <w:pPr>
              <w:ind w:firstLine="482"/>
              <w:rPr>
                <w:b/>
                <w:bCs/>
                <w:u w:val="single"/>
              </w:rPr>
            </w:pPr>
            <w:r>
              <w:rPr>
                <w:b/>
                <w:bCs/>
                <w:u w:val="single"/>
              </w:rPr>
              <w:t>A、用电监管点位布设要求</w:t>
            </w:r>
          </w:p>
          <w:p>
            <w:pPr>
              <w:ind w:firstLine="482"/>
              <w:rPr>
                <w:b/>
                <w:bCs/>
                <w:u w:val="single"/>
              </w:rPr>
            </w:pPr>
            <w:r>
              <w:rPr>
                <w:b/>
                <w:bCs/>
                <w:u w:val="single"/>
              </w:rPr>
              <w:t>用电监管点位应包括总用电监测点位、生产设施用电监测点位、治污设施用电监测点位等类型。</w:t>
            </w:r>
          </w:p>
          <w:p>
            <w:pPr>
              <w:ind w:firstLine="482"/>
              <w:rPr>
                <w:b/>
                <w:bCs/>
                <w:u w:val="single"/>
              </w:rPr>
            </w:pPr>
            <w:r>
              <w:rPr>
                <w:b/>
                <w:bCs/>
                <w:u w:val="single"/>
              </w:rPr>
              <w:t>总用电监测点位：安装在排污单位总进线回路上，反映排污单位生产、治污总体情况。</w:t>
            </w:r>
          </w:p>
          <w:p>
            <w:pPr>
              <w:ind w:firstLine="482"/>
              <w:rPr>
                <w:b/>
                <w:bCs/>
                <w:u w:val="single"/>
              </w:rPr>
            </w:pPr>
            <w:r>
              <w:rPr>
                <w:b/>
                <w:bCs/>
                <w:u w:val="single"/>
              </w:rPr>
              <w:t>生产设施用电监测点位：安装在排污单位的生产线总回路及主要生产设备回路上，反映排污单位停限产、错峰生产执行情况。</w:t>
            </w:r>
          </w:p>
          <w:p>
            <w:pPr>
              <w:ind w:firstLine="482"/>
              <w:rPr>
                <w:b/>
                <w:bCs/>
                <w:u w:val="single"/>
              </w:rPr>
            </w:pPr>
            <w:r>
              <w:rPr>
                <w:b/>
                <w:bCs/>
                <w:u w:val="single"/>
              </w:rPr>
              <w:t>治污设施用电监测点位：安装在排污单位治污工艺总回路及主要治污设备回路上，反映污染治理设施运行情况。</w:t>
            </w:r>
          </w:p>
          <w:p>
            <w:pPr>
              <w:ind w:firstLine="482"/>
              <w:rPr>
                <w:b/>
                <w:bCs/>
                <w:u w:val="single"/>
              </w:rPr>
            </w:pPr>
            <w:r>
              <w:rPr>
                <w:b/>
                <w:bCs/>
                <w:u w:val="single"/>
              </w:rPr>
              <w:t>B、监测方案编制与信息备案</w:t>
            </w:r>
          </w:p>
          <w:p>
            <w:pPr>
              <w:ind w:firstLine="482"/>
              <w:rPr>
                <w:b/>
                <w:bCs/>
                <w:u w:val="single"/>
              </w:rPr>
            </w:pPr>
            <w:r>
              <w:rPr>
                <w:b/>
                <w:bCs/>
                <w:u w:val="single"/>
              </w:rPr>
              <w:t>PEMS安装之前，应先到排污单位现场调查，依据监测点位布设原则和布设要求，结合排污单位实际情况，开展基础信息采集和监测点位布设，编制用电监管方案。方案中应包含排污单位基本信息和需布设用电监管点位的生产设施与治污设施的基本信息，以及用电监测点位分布示意图。</w:t>
            </w:r>
          </w:p>
          <w:p>
            <w:pPr>
              <w:ind w:firstLine="482"/>
              <w:rPr>
                <w:b/>
                <w:bCs/>
                <w:u w:val="single"/>
              </w:rPr>
            </w:pPr>
            <w:r>
              <w:rPr>
                <w:b/>
                <w:bCs/>
                <w:u w:val="single"/>
              </w:rPr>
              <w:t>排污单位基础信息包含单位名称、社会统一信用代码、地址、法人代表、行业类型、联系人、联系电话、注册资金、年产值、年产量、年废气排放量、年耗电量、经营范围、排口数量、生产工艺、治理工艺、主要产品、主要设备、数采仪MN编号、总用电监测点位信息等。</w:t>
            </w:r>
          </w:p>
          <w:p>
            <w:pPr>
              <w:ind w:firstLine="482"/>
              <w:rPr>
                <w:b/>
                <w:bCs/>
                <w:u w:val="single"/>
              </w:rPr>
            </w:pPr>
            <w:r>
              <w:rPr>
                <w:b/>
                <w:bCs/>
                <w:u w:val="single"/>
              </w:rPr>
              <w:t>主要生产与治污设施基本信息包含生产单元名称、生产单元序号、设备名称、设备序号、设备功率、备用关系、污染物种类、排放形式、备注信息等。</w:t>
            </w:r>
          </w:p>
          <w:p>
            <w:pPr>
              <w:ind w:firstLine="482"/>
              <w:rPr>
                <w:b/>
                <w:bCs/>
                <w:u w:val="single"/>
              </w:rPr>
            </w:pPr>
            <w:r>
              <w:rPr>
                <w:b/>
                <w:bCs/>
                <w:u w:val="single"/>
              </w:rPr>
              <w:t>监测方案确认后，应在河南省生态环境厅涉气排污单位污染治理设施用电监控平台进行信息备案。信息备案成功后，备案系统将自动生成统一规范的用电监管点位编码，通过远程在线下载供现场安装调试使用。</w:t>
            </w:r>
          </w:p>
          <w:p>
            <w:pPr>
              <w:ind w:firstLine="482"/>
              <w:rPr>
                <w:b/>
                <w:bCs/>
                <w:u w:val="single"/>
              </w:rPr>
            </w:pPr>
            <w:r>
              <w:rPr>
                <w:b/>
                <w:bCs/>
                <w:u w:val="single"/>
              </w:rPr>
              <w:t>C、技术验收</w:t>
            </w:r>
          </w:p>
          <w:p>
            <w:pPr>
              <w:ind w:firstLine="482"/>
              <w:rPr>
                <w:b/>
                <w:bCs/>
                <w:u w:val="single"/>
              </w:rPr>
            </w:pPr>
            <w:r>
              <w:rPr>
                <w:b/>
                <w:bCs/>
                <w:u w:val="single"/>
              </w:rPr>
              <w:t>PEMS施工完毕应由排污单位组织验收。验收过程包括提出申请、现场检查、现场测试、确认验收等环节。验收合格后向施工单位提供验收报告。</w:t>
            </w:r>
          </w:p>
          <w:p>
            <w:pPr>
              <w:numPr>
                <w:ilvl w:val="0"/>
                <w:numId w:val="4"/>
              </w:numPr>
              <w:ind w:firstLine="482"/>
              <w:rPr>
                <w:b/>
                <w:bCs/>
                <w:u w:val="single"/>
              </w:rPr>
            </w:pPr>
            <w:r>
              <w:rPr>
                <w:b/>
                <w:bCs/>
                <w:u w:val="single"/>
              </w:rPr>
              <w:t>日常运行管理要求</w:t>
            </w:r>
          </w:p>
          <w:p>
            <w:pPr>
              <w:ind w:firstLine="482"/>
              <w:rPr>
                <w:b/>
                <w:bCs/>
                <w:u w:val="single"/>
              </w:rPr>
            </w:pPr>
            <w:r>
              <w:rPr>
                <w:b/>
                <w:bCs/>
                <w:u w:val="single"/>
              </w:rPr>
              <w:t>排污单位应配备相应的人力、物力资源（常用工具、通讯设备、交通工具等），安排专人负责监测设备日常巡检与维护。巡检内容包括各种设备的运行状况，查看设备是否正常运行，并做好记录。日常维护主要针对以下几方面：</w:t>
            </w:r>
          </w:p>
          <w:p>
            <w:pPr>
              <w:ind w:firstLine="482"/>
              <w:rPr>
                <w:b/>
                <w:bCs/>
                <w:u w:val="single"/>
              </w:rPr>
            </w:pPr>
            <w:r>
              <w:rPr>
                <w:b/>
                <w:bCs/>
                <w:u w:val="single"/>
              </w:rPr>
              <w:t>（1）不定时检查维护设备及附件；</w:t>
            </w:r>
          </w:p>
          <w:p>
            <w:pPr>
              <w:ind w:firstLine="482"/>
              <w:rPr>
                <w:b/>
                <w:bCs/>
                <w:u w:val="single"/>
              </w:rPr>
            </w:pPr>
            <w:r>
              <w:rPr>
                <w:b/>
                <w:bCs/>
                <w:u w:val="single"/>
              </w:rPr>
              <w:t>（2）设备经长期使用，元件自然老化导致的设备损坏故障维护；</w:t>
            </w:r>
          </w:p>
          <w:p>
            <w:pPr>
              <w:ind w:firstLine="482"/>
              <w:rPr>
                <w:b/>
                <w:bCs/>
                <w:u w:val="single"/>
              </w:rPr>
            </w:pPr>
            <w:r>
              <w:rPr>
                <w:b/>
                <w:bCs/>
                <w:u w:val="single"/>
              </w:rPr>
              <w:t>（3）在运行过程中，由于电压、电流的不稳定，导致的设备损坏故障；</w:t>
            </w:r>
          </w:p>
          <w:p>
            <w:pPr>
              <w:ind w:firstLine="482"/>
              <w:rPr>
                <w:b/>
                <w:bCs/>
                <w:u w:val="single"/>
              </w:rPr>
            </w:pPr>
            <w:r>
              <w:rPr>
                <w:b/>
                <w:bCs/>
                <w:u w:val="single"/>
              </w:rPr>
              <w:t>（4）因线路受损导致的信号传输故障；</w:t>
            </w:r>
          </w:p>
          <w:p>
            <w:pPr>
              <w:ind w:firstLine="482"/>
              <w:rPr>
                <w:b/>
                <w:bCs/>
                <w:u w:val="single"/>
              </w:rPr>
            </w:pPr>
            <w:r>
              <w:rPr>
                <w:b/>
                <w:bCs/>
                <w:u w:val="single"/>
              </w:rPr>
              <w:t>（5）未采取防雷措施或因其他原因造成的施工质量故障等。</w:t>
            </w:r>
          </w:p>
          <w:p>
            <w:pPr>
              <w:ind w:firstLine="482"/>
            </w:pPr>
            <w:r>
              <w:rPr>
                <w:b/>
                <w:bCs/>
                <w:u w:val="single"/>
              </w:rPr>
              <w:t>现场端监测系统由排污单位委托第三方服务机构施工建设的，第三方服务机构应设立7×24小时客服电话，做到及时响应维护需求，重大事件2小时到现场处理。</w:t>
            </w:r>
          </w:p>
          <w:p>
            <w:pPr>
              <w:spacing w:line="500" w:lineRule="exact"/>
              <w:ind w:firstLine="196" w:firstLineChars="82"/>
              <w:rPr>
                <w:b/>
              </w:rPr>
            </w:pPr>
            <w:r>
              <w:rPr>
                <w:b/>
              </w:rPr>
              <w:t>7、环保投资</w:t>
            </w:r>
          </w:p>
          <w:p>
            <w:pPr>
              <w:ind w:firstLine="482"/>
              <w:jc w:val="both"/>
              <w:rPr>
                <w:rFonts w:eastAsiaTheme="minorEastAsia"/>
                <w:b/>
                <w:u w:val="single"/>
              </w:rPr>
            </w:pPr>
            <w:r>
              <w:rPr>
                <w:rFonts w:eastAsiaTheme="minorEastAsia"/>
                <w:b/>
                <w:u w:val="single"/>
              </w:rPr>
              <w:t>本项目环保投资主要用于废气、噪声、固废等污染治理，预计总投资为15.1万元，占项目总投资（300万元）的5.03%，本项目环保投资详见下表。</w:t>
            </w:r>
          </w:p>
          <w:p>
            <w:pPr>
              <w:pStyle w:val="7"/>
              <w:rPr>
                <w:b/>
                <w:u w:val="single"/>
              </w:rPr>
            </w:pPr>
            <w:r>
              <w:rPr>
                <w:b/>
                <w:u w:val="single"/>
              </w:rPr>
              <w:t>项目环保投资一览表</w:t>
            </w:r>
          </w:p>
          <w:tbl>
            <w:tblPr>
              <w:tblStyle w:val="20"/>
              <w:tblW w:w="87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7"/>
              <w:gridCol w:w="427"/>
              <w:gridCol w:w="27"/>
              <w:gridCol w:w="2491"/>
              <w:gridCol w:w="3827"/>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20" w:type="pct"/>
                  <w:tcBorders>
                    <w:top w:val="single" w:color="auto" w:sz="12" w:space="0"/>
                    <w:left w:val="single" w:color="auto" w:sz="12"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项目</w:t>
                  </w:r>
                </w:p>
              </w:tc>
              <w:tc>
                <w:tcPr>
                  <w:tcW w:w="1676" w:type="pct"/>
                  <w:gridSpan w:val="3"/>
                  <w:tcBorders>
                    <w:top w:val="single" w:color="auto" w:sz="12"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项目名称</w:t>
                  </w:r>
                </w:p>
              </w:tc>
              <w:tc>
                <w:tcPr>
                  <w:tcW w:w="2178" w:type="pct"/>
                  <w:tcBorders>
                    <w:top w:val="single" w:color="auto" w:sz="12"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环保设施</w:t>
                  </w:r>
                </w:p>
              </w:tc>
              <w:tc>
                <w:tcPr>
                  <w:tcW w:w="726" w:type="pct"/>
                  <w:tcBorders>
                    <w:top w:val="single" w:color="auto" w:sz="12" w:space="0"/>
                    <w:left w:val="single" w:color="auto" w:sz="6" w:space="0"/>
                    <w:bottom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投资（万元）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20" w:type="pct"/>
                  <w:vMerge w:val="restart"/>
                  <w:tcBorders>
                    <w:top w:val="single" w:color="auto" w:sz="6" w:space="0"/>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运营期</w:t>
                  </w:r>
                </w:p>
              </w:tc>
              <w:tc>
                <w:tcPr>
                  <w:tcW w:w="1676" w:type="pct"/>
                  <w:gridSpan w:val="3"/>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废水</w:t>
                  </w:r>
                </w:p>
              </w:tc>
              <w:tc>
                <w:tcPr>
                  <w:tcW w:w="2178" w:type="pct"/>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kern w:val="2"/>
                      <w:sz w:val="21"/>
                      <w:szCs w:val="21"/>
                      <w:u w:val="single"/>
                    </w:rPr>
                  </w:pPr>
                  <w:r>
                    <w:rPr>
                      <w:rFonts w:hint="eastAsia"/>
                      <w:b/>
                      <w:color w:val="auto"/>
                      <w:kern w:val="2"/>
                      <w:sz w:val="21"/>
                      <w:szCs w:val="21"/>
                      <w:u w:val="single"/>
                    </w:rPr>
                    <w:t>经化粪池处理后由附近村民拉走肥田</w:t>
                  </w:r>
                </w:p>
              </w:tc>
              <w:tc>
                <w:tcPr>
                  <w:tcW w:w="726" w:type="pct"/>
                  <w:tcBorders>
                    <w:top w:val="single" w:color="auto" w:sz="6" w:space="0"/>
                    <w:left w:val="single" w:color="auto" w:sz="6" w:space="0"/>
                    <w:bottom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258" w:type="pct"/>
                  <w:gridSpan w:val="2"/>
                  <w:vMerge w:val="restart"/>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废气</w:t>
                  </w:r>
                </w:p>
              </w:tc>
              <w:tc>
                <w:tcPr>
                  <w:tcW w:w="1417"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切割粉尘</w:t>
                  </w:r>
                </w:p>
              </w:tc>
              <w:tc>
                <w:tcPr>
                  <w:tcW w:w="2178"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kern w:val="2"/>
                      <w:sz w:val="21"/>
                      <w:szCs w:val="21"/>
                      <w:u w:val="single"/>
                    </w:rPr>
                  </w:pPr>
                  <w:r>
                    <w:rPr>
                      <w:rFonts w:hint="eastAsia"/>
                      <w:b/>
                      <w:color w:val="auto"/>
                      <w:kern w:val="2"/>
                      <w:sz w:val="21"/>
                      <w:szCs w:val="21"/>
                      <w:u w:val="single"/>
                    </w:rPr>
                    <w:t>集气罩+袋式除尘器+15m排气筒</w:t>
                  </w:r>
                </w:p>
              </w:tc>
              <w:tc>
                <w:tcPr>
                  <w:tcW w:w="726" w:type="pct"/>
                  <w:tcBorders>
                    <w:top w:val="single" w:color="auto" w:sz="6" w:space="0"/>
                    <w:left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258" w:type="pct"/>
                  <w:gridSpan w:val="2"/>
                  <w:vMerge w:val="continue"/>
                  <w:tcBorders>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1417"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焊接烟尘</w:t>
                  </w:r>
                </w:p>
              </w:tc>
              <w:tc>
                <w:tcPr>
                  <w:tcW w:w="2178" w:type="pct"/>
                  <w:tcBorders>
                    <w:left w:val="single" w:color="auto" w:sz="6" w:space="0"/>
                    <w:right w:val="single" w:color="auto" w:sz="6" w:space="0"/>
                  </w:tcBorders>
                  <w:vAlign w:val="center"/>
                </w:tcPr>
                <w:p>
                  <w:pPr>
                    <w:pStyle w:val="26"/>
                    <w:spacing w:line="240" w:lineRule="auto"/>
                    <w:rPr>
                      <w:b/>
                      <w:color w:val="auto"/>
                      <w:sz w:val="21"/>
                      <w:szCs w:val="21"/>
                      <w:u w:val="single"/>
                    </w:rPr>
                  </w:pPr>
                  <w:r>
                    <w:rPr>
                      <w:rFonts w:hint="eastAsia"/>
                      <w:b/>
                      <w:color w:val="auto"/>
                      <w:sz w:val="21"/>
                      <w:szCs w:val="21"/>
                      <w:u w:val="single"/>
                    </w:rPr>
                    <w:t>集气罩+袋式除尘器+15m排气筒</w:t>
                  </w:r>
                </w:p>
              </w:tc>
              <w:tc>
                <w:tcPr>
                  <w:tcW w:w="726" w:type="pct"/>
                  <w:tcBorders>
                    <w:left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258" w:type="pct"/>
                  <w:gridSpan w:val="2"/>
                  <w:vMerge w:val="continue"/>
                  <w:tcBorders>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1417"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打磨粉尘</w:t>
                  </w:r>
                </w:p>
              </w:tc>
              <w:tc>
                <w:tcPr>
                  <w:tcW w:w="2178" w:type="pct"/>
                  <w:tcBorders>
                    <w:left w:val="single" w:color="auto" w:sz="6" w:space="0"/>
                    <w:bottom w:val="single" w:color="auto" w:sz="6" w:space="0"/>
                    <w:right w:val="single" w:color="auto" w:sz="6" w:space="0"/>
                  </w:tcBorders>
                  <w:vAlign w:val="center"/>
                </w:tcPr>
                <w:p>
                  <w:pPr>
                    <w:pStyle w:val="26"/>
                    <w:spacing w:line="240" w:lineRule="auto"/>
                    <w:rPr>
                      <w:b/>
                      <w:color w:val="auto"/>
                      <w:sz w:val="21"/>
                      <w:szCs w:val="21"/>
                      <w:u w:val="single"/>
                    </w:rPr>
                  </w:pPr>
                  <w:r>
                    <w:rPr>
                      <w:rFonts w:hint="eastAsia"/>
                      <w:b/>
                      <w:color w:val="auto"/>
                      <w:sz w:val="21"/>
                      <w:szCs w:val="21"/>
                      <w:u w:val="single"/>
                    </w:rPr>
                    <w:t>集气罩+袋式除尘器+15m排气筒</w:t>
                  </w:r>
                </w:p>
              </w:tc>
              <w:tc>
                <w:tcPr>
                  <w:tcW w:w="726" w:type="pct"/>
                  <w:tcBorders>
                    <w:left w:val="single" w:color="auto" w:sz="6" w:space="0"/>
                    <w:bottom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1676" w:type="pct"/>
                  <w:gridSpan w:val="3"/>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噪声</w:t>
                  </w:r>
                </w:p>
              </w:tc>
              <w:tc>
                <w:tcPr>
                  <w:tcW w:w="2178" w:type="pct"/>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基础减震、厂房隔声、距离衰减</w:t>
                  </w:r>
                </w:p>
              </w:tc>
              <w:tc>
                <w:tcPr>
                  <w:tcW w:w="726" w:type="pct"/>
                  <w:tcBorders>
                    <w:top w:val="single" w:color="auto" w:sz="6" w:space="0"/>
                    <w:left w:val="single" w:color="auto" w:sz="6" w:space="0"/>
                    <w:bottom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242" w:type="pct"/>
                  <w:vMerge w:val="restart"/>
                  <w:tcBorders>
                    <w:top w:val="single" w:color="auto" w:sz="6" w:space="0"/>
                    <w:left w:val="single" w:color="auto" w:sz="6" w:space="0"/>
                    <w:right w:val="single" w:color="auto" w:sz="6" w:space="0"/>
                  </w:tcBorders>
                  <w:vAlign w:val="center"/>
                </w:tcPr>
                <w:p>
                  <w:pPr>
                    <w:pStyle w:val="26"/>
                    <w:spacing w:line="240" w:lineRule="auto"/>
                    <w:rPr>
                      <w:b/>
                      <w:color w:val="auto"/>
                      <w:sz w:val="21"/>
                      <w:szCs w:val="21"/>
                      <w:u w:val="single"/>
                    </w:rPr>
                  </w:pPr>
                  <w:r>
                    <w:rPr>
                      <w:b/>
                      <w:color w:val="auto"/>
                      <w:sz w:val="21"/>
                      <w:szCs w:val="21"/>
                      <w:u w:val="single"/>
                    </w:rPr>
                    <w:t>固废</w:t>
                  </w:r>
                </w:p>
              </w:tc>
              <w:tc>
                <w:tcPr>
                  <w:tcW w:w="1433" w:type="pct"/>
                  <w:gridSpan w:val="2"/>
                  <w:tcBorders>
                    <w:top w:val="single" w:color="auto" w:sz="6" w:space="0"/>
                    <w:left w:val="single" w:color="auto" w:sz="6" w:space="0"/>
                    <w:right w:val="single" w:color="auto" w:sz="6" w:space="0"/>
                  </w:tcBorders>
                  <w:vAlign w:val="center"/>
                </w:tcPr>
                <w:p>
                  <w:pPr>
                    <w:pStyle w:val="26"/>
                    <w:spacing w:line="240" w:lineRule="auto"/>
                    <w:rPr>
                      <w:b/>
                      <w:color w:val="auto"/>
                      <w:sz w:val="21"/>
                      <w:szCs w:val="21"/>
                      <w:u w:val="single"/>
                    </w:rPr>
                  </w:pPr>
                  <w:r>
                    <w:rPr>
                      <w:rFonts w:hint="eastAsia"/>
                      <w:b/>
                      <w:color w:val="auto"/>
                      <w:sz w:val="21"/>
                      <w:szCs w:val="21"/>
                      <w:u w:val="single"/>
                    </w:rPr>
                    <w:t>生活垃圾</w:t>
                  </w:r>
                </w:p>
              </w:tc>
              <w:tc>
                <w:tcPr>
                  <w:tcW w:w="2178" w:type="pct"/>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垃圾桶</w:t>
                  </w:r>
                </w:p>
              </w:tc>
              <w:tc>
                <w:tcPr>
                  <w:tcW w:w="726" w:type="pct"/>
                  <w:tcBorders>
                    <w:top w:val="single" w:color="auto" w:sz="6" w:space="0"/>
                    <w:left w:val="single" w:color="auto" w:sz="6" w:space="0"/>
                    <w:bottom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0</w:t>
                  </w:r>
                  <w:r>
                    <w:rPr>
                      <w:b/>
                      <w:color w:val="auto"/>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242" w:type="pct"/>
                  <w:vMerge w:val="continue"/>
                  <w:tcBorders>
                    <w:left w:val="single" w:color="auto" w:sz="6" w:space="0"/>
                    <w:right w:val="single" w:color="auto" w:sz="6" w:space="0"/>
                  </w:tcBorders>
                  <w:vAlign w:val="center"/>
                </w:tcPr>
                <w:p>
                  <w:pPr>
                    <w:pStyle w:val="26"/>
                    <w:spacing w:line="240" w:lineRule="auto"/>
                    <w:rPr>
                      <w:b/>
                      <w:color w:val="auto"/>
                      <w:sz w:val="21"/>
                      <w:szCs w:val="21"/>
                      <w:u w:val="single"/>
                    </w:rPr>
                  </w:pPr>
                </w:p>
              </w:tc>
              <w:tc>
                <w:tcPr>
                  <w:tcW w:w="1433" w:type="pct"/>
                  <w:gridSpan w:val="2"/>
                  <w:tcBorders>
                    <w:left w:val="single" w:color="auto" w:sz="6" w:space="0"/>
                    <w:right w:val="single" w:color="auto" w:sz="6" w:space="0"/>
                  </w:tcBorders>
                  <w:vAlign w:val="center"/>
                </w:tcPr>
                <w:p>
                  <w:pPr>
                    <w:pStyle w:val="26"/>
                    <w:spacing w:line="240" w:lineRule="auto"/>
                    <w:rPr>
                      <w:b/>
                      <w:color w:val="auto"/>
                      <w:sz w:val="21"/>
                      <w:szCs w:val="21"/>
                      <w:u w:val="single"/>
                    </w:rPr>
                  </w:pPr>
                  <w:r>
                    <w:rPr>
                      <w:rFonts w:hint="eastAsia"/>
                      <w:b/>
                      <w:color w:val="auto"/>
                      <w:sz w:val="21"/>
                      <w:szCs w:val="21"/>
                      <w:u w:val="single"/>
                    </w:rPr>
                    <w:t>边角料、废金属屑、焊渣</w:t>
                  </w:r>
                </w:p>
              </w:tc>
              <w:tc>
                <w:tcPr>
                  <w:tcW w:w="2178" w:type="pct"/>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一般固废暂存区（20</w:t>
                  </w:r>
                  <w:r>
                    <w:rPr>
                      <w:b/>
                      <w:color w:val="auto"/>
                      <w:sz w:val="21"/>
                      <w:szCs w:val="21"/>
                      <w:u w:val="single"/>
                    </w:rPr>
                    <w:t>m</w:t>
                  </w:r>
                  <w:r>
                    <w:rPr>
                      <w:b/>
                      <w:color w:val="auto"/>
                      <w:sz w:val="21"/>
                      <w:szCs w:val="21"/>
                      <w:u w:val="single"/>
                      <w:vertAlign w:val="superscript"/>
                    </w:rPr>
                    <w:t>2</w:t>
                  </w:r>
                  <w:r>
                    <w:rPr>
                      <w:rFonts w:hint="eastAsia"/>
                      <w:b/>
                      <w:color w:val="auto"/>
                      <w:sz w:val="21"/>
                      <w:szCs w:val="21"/>
                      <w:u w:val="single"/>
                    </w:rPr>
                    <w:t>）</w:t>
                  </w:r>
                </w:p>
              </w:tc>
              <w:tc>
                <w:tcPr>
                  <w:tcW w:w="726" w:type="pct"/>
                  <w:tcBorders>
                    <w:top w:val="single" w:color="auto" w:sz="6" w:space="0"/>
                    <w:left w:val="single" w:color="auto" w:sz="6" w:space="0"/>
                    <w:bottom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20" w:type="pct"/>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242" w:type="pct"/>
                  <w:vMerge w:val="continue"/>
                  <w:tcBorders>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1433" w:type="pct"/>
                  <w:gridSpan w:val="2"/>
                  <w:tcBorders>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废液压油、废切削液</w:t>
                  </w:r>
                </w:p>
              </w:tc>
              <w:tc>
                <w:tcPr>
                  <w:tcW w:w="2178" w:type="pct"/>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危废暂存间（5</w:t>
                  </w:r>
                  <w:r>
                    <w:rPr>
                      <w:b/>
                      <w:color w:val="auto"/>
                      <w:sz w:val="21"/>
                      <w:szCs w:val="21"/>
                      <w:u w:val="single"/>
                    </w:rPr>
                    <w:t>m</w:t>
                  </w:r>
                  <w:r>
                    <w:rPr>
                      <w:b/>
                      <w:color w:val="auto"/>
                      <w:sz w:val="21"/>
                      <w:szCs w:val="21"/>
                      <w:u w:val="single"/>
                      <w:vertAlign w:val="superscript"/>
                    </w:rPr>
                    <w:t>2</w:t>
                  </w:r>
                  <w:r>
                    <w:rPr>
                      <w:rFonts w:hint="eastAsia"/>
                      <w:b/>
                      <w:color w:val="auto"/>
                      <w:sz w:val="21"/>
                      <w:szCs w:val="21"/>
                      <w:u w:val="single"/>
                    </w:rPr>
                    <w:t>）</w:t>
                  </w:r>
                </w:p>
              </w:tc>
              <w:tc>
                <w:tcPr>
                  <w:tcW w:w="726" w:type="pct"/>
                  <w:tcBorders>
                    <w:top w:val="single" w:color="auto" w:sz="6" w:space="0"/>
                    <w:left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b/>
                      <w:color w:val="auto"/>
                      <w:sz w:val="21"/>
                      <w:szCs w:val="21"/>
                      <w:u w:val="singl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662" w:type="pct"/>
                  <w:gridSpan w:val="2"/>
                  <w:vMerge w:val="restart"/>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管理措施</w:t>
                  </w:r>
                </w:p>
              </w:tc>
              <w:tc>
                <w:tcPr>
                  <w:tcW w:w="3611" w:type="pct"/>
                  <w:gridSpan w:val="3"/>
                  <w:vAlign w:val="center"/>
                </w:tcPr>
                <w:p>
                  <w:pPr>
                    <w:snapToGrid w:val="0"/>
                    <w:spacing w:line="240" w:lineRule="auto"/>
                    <w:ind w:firstLine="0" w:firstLineChars="0"/>
                    <w:jc w:val="center"/>
                    <w:rPr>
                      <w:rFonts w:ascii="宋体" w:hAnsi="宋体" w:cs="宋体"/>
                      <w:b/>
                      <w:sz w:val="21"/>
                      <w:szCs w:val="21"/>
                      <w:u w:val="single"/>
                    </w:rPr>
                  </w:pPr>
                  <w:r>
                    <w:rPr>
                      <w:rFonts w:hint="eastAsia" w:ascii="宋体" w:hAnsi="宋体" w:cs="宋体"/>
                      <w:b/>
                      <w:sz w:val="21"/>
                      <w:szCs w:val="21"/>
                      <w:u w:val="single"/>
                    </w:rPr>
                    <w:t>视频监控</w:t>
                  </w:r>
                </w:p>
              </w:tc>
              <w:tc>
                <w:tcPr>
                  <w:tcW w:w="726" w:type="pct"/>
                  <w:tcBorders>
                    <w:top w:val="single" w:color="auto" w:sz="6" w:space="0"/>
                    <w:left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662" w:type="pct"/>
                  <w:gridSpan w:val="2"/>
                  <w:vMerge w:val="continue"/>
                  <w:tcBorders>
                    <w:left w:val="single" w:color="auto" w:sz="12" w:space="0"/>
                    <w:right w:val="single" w:color="auto" w:sz="6" w:space="0"/>
                  </w:tcBorders>
                  <w:vAlign w:val="center"/>
                </w:tcPr>
                <w:p>
                  <w:pPr>
                    <w:pStyle w:val="26"/>
                    <w:framePr w:hSpace="0" w:wrap="auto" w:vAnchor="margin" w:hAnchor="text" w:xAlign="left" w:yAlign="inline"/>
                    <w:spacing w:line="240" w:lineRule="auto"/>
                    <w:rPr>
                      <w:b/>
                      <w:color w:val="auto"/>
                      <w:sz w:val="21"/>
                      <w:szCs w:val="21"/>
                      <w:u w:val="single"/>
                    </w:rPr>
                  </w:pPr>
                </w:p>
              </w:tc>
              <w:tc>
                <w:tcPr>
                  <w:tcW w:w="3611" w:type="pct"/>
                  <w:gridSpan w:val="3"/>
                  <w:vAlign w:val="center"/>
                </w:tcPr>
                <w:p>
                  <w:pPr>
                    <w:snapToGrid w:val="0"/>
                    <w:spacing w:line="240" w:lineRule="auto"/>
                    <w:ind w:firstLine="0" w:firstLineChars="0"/>
                    <w:jc w:val="center"/>
                    <w:rPr>
                      <w:rFonts w:ascii="宋体" w:hAnsi="宋体" w:cs="宋体"/>
                      <w:b/>
                      <w:sz w:val="21"/>
                      <w:szCs w:val="21"/>
                      <w:u w:val="single"/>
                    </w:rPr>
                  </w:pPr>
                  <w:r>
                    <w:rPr>
                      <w:rFonts w:hint="eastAsia" w:ascii="宋体" w:hAnsi="宋体" w:cs="宋体"/>
                      <w:b/>
                      <w:sz w:val="21"/>
                      <w:szCs w:val="21"/>
                      <w:u w:val="single"/>
                    </w:rPr>
                    <w:t>用电量监控系统</w:t>
                  </w:r>
                </w:p>
              </w:tc>
              <w:tc>
                <w:tcPr>
                  <w:tcW w:w="726" w:type="pct"/>
                  <w:tcBorders>
                    <w:top w:val="single" w:color="auto" w:sz="6" w:space="0"/>
                    <w:left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274" w:type="pct"/>
                  <w:gridSpan w:val="5"/>
                  <w:tcBorders>
                    <w:left w:val="single" w:color="auto" w:sz="12" w:space="0"/>
                  </w:tcBorders>
                  <w:vAlign w:val="center"/>
                </w:tcPr>
                <w:p>
                  <w:pPr>
                    <w:snapToGrid w:val="0"/>
                    <w:spacing w:line="240" w:lineRule="auto"/>
                    <w:ind w:firstLine="0" w:firstLineChars="0"/>
                    <w:jc w:val="center"/>
                    <w:rPr>
                      <w:rFonts w:ascii="宋体" w:hAnsi="宋体" w:cs="宋体"/>
                      <w:b/>
                      <w:sz w:val="21"/>
                      <w:szCs w:val="21"/>
                      <w:u w:val="single"/>
                    </w:rPr>
                  </w:pPr>
                  <w:r>
                    <w:rPr>
                      <w:rFonts w:hint="eastAsia" w:ascii="宋体" w:hAnsi="宋体" w:cs="宋体"/>
                      <w:b/>
                      <w:sz w:val="21"/>
                      <w:szCs w:val="21"/>
                      <w:u w:val="single"/>
                    </w:rPr>
                    <w:t>合计</w:t>
                  </w:r>
                </w:p>
              </w:tc>
              <w:tc>
                <w:tcPr>
                  <w:tcW w:w="726" w:type="pct"/>
                  <w:tcBorders>
                    <w:top w:val="single" w:color="auto" w:sz="6" w:space="0"/>
                    <w:left w:val="single" w:color="auto" w:sz="6" w:space="0"/>
                    <w:right w:val="single" w:color="auto" w:sz="12" w:space="0"/>
                  </w:tcBorders>
                  <w:vAlign w:val="center"/>
                </w:tcPr>
                <w:p>
                  <w:pPr>
                    <w:pStyle w:val="26"/>
                    <w:framePr w:hSpace="0" w:wrap="auto" w:vAnchor="margin" w:hAnchor="text" w:xAlign="left" w:yAlign="inline"/>
                    <w:spacing w:line="240" w:lineRule="auto"/>
                    <w:rPr>
                      <w:b/>
                      <w:color w:val="auto"/>
                      <w:sz w:val="21"/>
                      <w:szCs w:val="21"/>
                      <w:u w:val="single"/>
                    </w:rPr>
                  </w:pPr>
                  <w:r>
                    <w:rPr>
                      <w:rFonts w:hint="eastAsia"/>
                      <w:b/>
                      <w:color w:val="auto"/>
                      <w:sz w:val="21"/>
                      <w:szCs w:val="21"/>
                      <w:u w:val="single"/>
                    </w:rPr>
                    <w:t>1</w:t>
                  </w:r>
                  <w:r>
                    <w:rPr>
                      <w:b/>
                      <w:color w:val="auto"/>
                      <w:sz w:val="21"/>
                      <w:szCs w:val="21"/>
                      <w:u w:val="single"/>
                    </w:rPr>
                    <w:t>5.1</w:t>
                  </w:r>
                </w:p>
              </w:tc>
            </w:tr>
          </w:tbl>
          <w:p>
            <w:pPr>
              <w:spacing w:line="500" w:lineRule="exact"/>
              <w:ind w:firstLine="196" w:firstLineChars="82"/>
              <w:rPr>
                <w:b/>
              </w:rPr>
            </w:pPr>
            <w:r>
              <w:rPr>
                <w:b/>
              </w:rPr>
              <w:t>8、环保验收内容</w:t>
            </w:r>
          </w:p>
          <w:p>
            <w:pPr>
              <w:ind w:firstLine="480"/>
              <w:jc w:val="both"/>
            </w:pPr>
            <w:r>
              <w:t>本项目环保“三同时”验收内容见下表。</w:t>
            </w:r>
          </w:p>
          <w:p>
            <w:pPr>
              <w:pStyle w:val="7"/>
            </w:pPr>
            <w:r>
              <w:t>环保三同时验收内容一览表</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8"/>
              <w:gridCol w:w="1692"/>
              <w:gridCol w:w="2332"/>
              <w:gridCol w:w="879"/>
              <w:gridCol w:w="3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413" w:type="pct"/>
                  <w:tcBorders>
                    <w:top w:val="single" w:color="auto" w:sz="12" w:space="0"/>
                    <w:left w:val="single" w:color="auto" w:sz="12" w:space="0"/>
                    <w:bottom w:val="single" w:color="auto" w:sz="6" w:space="0"/>
                    <w:right w:val="single" w:color="auto" w:sz="6" w:space="0"/>
                  </w:tcBorders>
                  <w:vAlign w:val="center"/>
                </w:tcPr>
                <w:p>
                  <w:pPr>
                    <w:pStyle w:val="25"/>
                    <w:spacing w:line="240" w:lineRule="auto"/>
                    <w:rPr>
                      <w:rFonts w:eastAsia="Times New Roman" w:cs="Times New Roman"/>
                      <w:b/>
                      <w:szCs w:val="21"/>
                      <w:u w:val="single"/>
                    </w:rPr>
                  </w:pPr>
                  <w:r>
                    <w:rPr>
                      <w:rFonts w:cs="Times New Roman"/>
                      <w:b/>
                      <w:szCs w:val="21"/>
                      <w:u w:val="single"/>
                    </w:rPr>
                    <w:t>类别</w:t>
                  </w:r>
                </w:p>
              </w:tc>
              <w:tc>
                <w:tcPr>
                  <w:tcW w:w="972" w:type="pct"/>
                  <w:tcBorders>
                    <w:top w:val="single" w:color="auto" w:sz="12" w:space="0"/>
                    <w:left w:val="single" w:color="auto" w:sz="6" w:space="0"/>
                    <w:bottom w:val="single" w:color="auto" w:sz="6" w:space="0"/>
                    <w:right w:val="single" w:color="auto" w:sz="6" w:space="0"/>
                  </w:tcBorders>
                  <w:vAlign w:val="center"/>
                </w:tcPr>
                <w:p>
                  <w:pPr>
                    <w:pStyle w:val="25"/>
                    <w:spacing w:line="240" w:lineRule="auto"/>
                    <w:rPr>
                      <w:rFonts w:eastAsia="Times New Roman" w:cs="Times New Roman"/>
                      <w:b/>
                      <w:szCs w:val="21"/>
                      <w:u w:val="single"/>
                    </w:rPr>
                  </w:pPr>
                  <w:r>
                    <w:rPr>
                      <w:rFonts w:cs="Times New Roman"/>
                      <w:b/>
                      <w:szCs w:val="21"/>
                      <w:u w:val="single"/>
                    </w:rPr>
                    <w:t>污染源</w:t>
                  </w:r>
                </w:p>
              </w:tc>
              <w:tc>
                <w:tcPr>
                  <w:tcW w:w="1340" w:type="pct"/>
                  <w:tcBorders>
                    <w:top w:val="single" w:color="auto" w:sz="12" w:space="0"/>
                    <w:left w:val="single" w:color="auto" w:sz="6" w:space="0"/>
                    <w:right w:val="single" w:color="auto" w:sz="12" w:space="0"/>
                  </w:tcBorders>
                  <w:vAlign w:val="center"/>
                </w:tcPr>
                <w:p>
                  <w:pPr>
                    <w:pStyle w:val="25"/>
                    <w:spacing w:line="240" w:lineRule="auto"/>
                    <w:rPr>
                      <w:rFonts w:eastAsia="Times New Roman" w:cs="Times New Roman"/>
                      <w:b/>
                      <w:szCs w:val="21"/>
                      <w:u w:val="single"/>
                    </w:rPr>
                  </w:pPr>
                  <w:r>
                    <w:rPr>
                      <w:rFonts w:cs="Times New Roman"/>
                      <w:b/>
                      <w:szCs w:val="21"/>
                      <w:u w:val="single"/>
                    </w:rPr>
                    <w:t>验收内容环保设施</w:t>
                  </w:r>
                </w:p>
              </w:tc>
              <w:tc>
                <w:tcPr>
                  <w:tcW w:w="505" w:type="pct"/>
                  <w:tcBorders>
                    <w:top w:val="single" w:color="auto" w:sz="12" w:space="0"/>
                    <w:left w:val="single" w:color="auto" w:sz="6" w:space="0"/>
                    <w:right w:val="single" w:color="auto" w:sz="12" w:space="0"/>
                  </w:tcBorders>
                  <w:vAlign w:val="center"/>
                </w:tcPr>
                <w:p>
                  <w:pPr>
                    <w:pStyle w:val="25"/>
                    <w:spacing w:line="240" w:lineRule="auto"/>
                    <w:rPr>
                      <w:rFonts w:eastAsia="Times New Roman" w:cs="Times New Roman"/>
                      <w:b/>
                      <w:szCs w:val="21"/>
                      <w:u w:val="single"/>
                    </w:rPr>
                  </w:pPr>
                  <w:r>
                    <w:rPr>
                      <w:rFonts w:cs="Times New Roman"/>
                      <w:b/>
                      <w:szCs w:val="21"/>
                      <w:u w:val="single"/>
                    </w:rPr>
                    <w:t>数量</w:t>
                  </w:r>
                </w:p>
              </w:tc>
              <w:tc>
                <w:tcPr>
                  <w:tcW w:w="1769" w:type="pct"/>
                  <w:tcBorders>
                    <w:top w:val="single" w:color="auto" w:sz="12" w:space="0"/>
                    <w:left w:val="single" w:color="auto" w:sz="6" w:space="0"/>
                    <w:right w:val="single" w:color="auto" w:sz="12" w:space="0"/>
                  </w:tcBorders>
                  <w:vAlign w:val="center"/>
                </w:tcPr>
                <w:p>
                  <w:pPr>
                    <w:pStyle w:val="25"/>
                    <w:spacing w:line="240" w:lineRule="auto"/>
                    <w:rPr>
                      <w:rFonts w:eastAsia="Times New Roman" w:cs="Times New Roman"/>
                      <w:b/>
                      <w:szCs w:val="21"/>
                      <w:u w:val="single"/>
                    </w:rPr>
                  </w:pPr>
                  <w:r>
                    <w:rPr>
                      <w:rFonts w:cs="Times New Roman"/>
                      <w:b/>
                      <w:szCs w:val="21"/>
                      <w:u w:val="single"/>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tcBorders>
                    <w:top w:val="single" w:color="auto" w:sz="6" w:space="0"/>
                    <w:left w:val="single" w:color="auto" w:sz="12"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废水</w:t>
                  </w:r>
                </w:p>
              </w:tc>
              <w:tc>
                <w:tcPr>
                  <w:tcW w:w="972"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生活废水</w:t>
                  </w:r>
                </w:p>
              </w:tc>
              <w:tc>
                <w:tcPr>
                  <w:tcW w:w="1340"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化粪池</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w:t>
                  </w:r>
                </w:p>
              </w:tc>
              <w:tc>
                <w:tcPr>
                  <w:tcW w:w="1769" w:type="pct"/>
                  <w:tcBorders>
                    <w:top w:val="single" w:color="auto" w:sz="6" w:space="0"/>
                    <w:left w:val="single" w:color="auto" w:sz="6" w:space="0"/>
                    <w:bottom w:val="single" w:color="auto" w:sz="6" w:space="0"/>
                    <w:right w:val="single" w:color="auto" w:sz="12" w:space="0"/>
                  </w:tcBorders>
                  <w:vAlign w:val="center"/>
                </w:tcPr>
                <w:p>
                  <w:pPr>
                    <w:pStyle w:val="25"/>
                    <w:spacing w:line="240" w:lineRule="auto"/>
                    <w:rPr>
                      <w:rFonts w:cs="Times New Roman"/>
                      <w:b/>
                      <w:szCs w:val="21"/>
                      <w:u w:val="single"/>
                    </w:rPr>
                  </w:pPr>
                  <w:r>
                    <w:rPr>
                      <w:rFonts w:hint="eastAsia" w:cs="Times New Roman"/>
                      <w:b/>
                      <w:szCs w:val="21"/>
                      <w:u w:val="single"/>
                    </w:rPr>
                    <w:t>由附近村民拉走肥田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vMerge w:val="restart"/>
                  <w:tcBorders>
                    <w:top w:val="single" w:color="auto" w:sz="6" w:space="0"/>
                    <w:left w:val="single" w:color="auto" w:sz="12"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废气</w:t>
                  </w:r>
                </w:p>
              </w:tc>
              <w:tc>
                <w:tcPr>
                  <w:tcW w:w="972"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rPr>
                      <w:b/>
                      <w:color w:val="auto"/>
                      <w:sz w:val="21"/>
                      <w:szCs w:val="21"/>
                      <w:u w:val="single"/>
                    </w:rPr>
                  </w:pPr>
                  <w:r>
                    <w:rPr>
                      <w:rFonts w:hint="eastAsia"/>
                      <w:b/>
                      <w:color w:val="auto"/>
                      <w:sz w:val="21"/>
                      <w:szCs w:val="21"/>
                      <w:u w:val="single"/>
                    </w:rPr>
                    <w:t>切割粉尘</w:t>
                  </w:r>
                </w:p>
              </w:tc>
              <w:tc>
                <w:tcPr>
                  <w:tcW w:w="1340"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kern w:val="2"/>
                      <w:sz w:val="21"/>
                      <w:szCs w:val="21"/>
                      <w:u w:val="single"/>
                    </w:rPr>
                  </w:pPr>
                  <w:r>
                    <w:rPr>
                      <w:rFonts w:hint="eastAsia"/>
                      <w:b/>
                      <w:color w:val="auto"/>
                      <w:kern w:val="2"/>
                      <w:sz w:val="21"/>
                      <w:szCs w:val="21"/>
                      <w:u w:val="single"/>
                    </w:rPr>
                    <w:t>集气罩+袋式除尘器+15m排气筒</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1套</w:t>
                  </w:r>
                </w:p>
              </w:tc>
              <w:tc>
                <w:tcPr>
                  <w:tcW w:w="1769" w:type="pct"/>
                  <w:vMerge w:val="restart"/>
                  <w:tcBorders>
                    <w:top w:val="single" w:color="auto" w:sz="6" w:space="0"/>
                    <w:left w:val="single" w:color="auto" w:sz="6" w:space="0"/>
                    <w:right w:val="single" w:color="auto" w:sz="12" w:space="0"/>
                  </w:tcBorders>
                  <w:vAlign w:val="center"/>
                </w:tcPr>
                <w:p>
                  <w:pPr>
                    <w:pStyle w:val="25"/>
                    <w:spacing w:line="240" w:lineRule="auto"/>
                    <w:rPr>
                      <w:rFonts w:cs="Times New Roman"/>
                      <w:b/>
                      <w:szCs w:val="21"/>
                      <w:u w:val="single"/>
                    </w:rPr>
                  </w:pPr>
                  <w:r>
                    <w:rPr>
                      <w:rFonts w:cs="Times New Roman"/>
                      <w:b/>
                      <w:szCs w:val="21"/>
                      <w:u w:val="single"/>
                    </w:rPr>
                    <w:t>《大气污染物综合排放标准》（GB16297-1996）表2</w:t>
                  </w:r>
                  <w:r>
                    <w:rPr>
                      <w:rFonts w:hint="eastAsia" w:cs="Times New Roman"/>
                      <w:b/>
                      <w:szCs w:val="21"/>
                      <w:u w:val="single"/>
                    </w:rPr>
                    <w:t>二级标准要求（颗粒物：120mg/m</w:t>
                  </w:r>
                  <w:r>
                    <w:rPr>
                      <w:rFonts w:hint="eastAsia" w:cs="Times New Roman"/>
                      <w:b/>
                      <w:szCs w:val="21"/>
                      <w:u w:val="single"/>
                      <w:vertAlign w:val="superscript"/>
                    </w:rPr>
                    <w:t>3</w:t>
                  </w:r>
                  <w:r>
                    <w:rPr>
                      <w:rFonts w:hint="eastAsia" w:cs="Times New Roman"/>
                      <w:b/>
                      <w:szCs w:val="21"/>
                      <w:u w:val="single"/>
                    </w:rPr>
                    <w:t>、3.5kg/h（15m排气筒））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vMerge w:val="continue"/>
                  <w:tcBorders>
                    <w:left w:val="single" w:color="auto" w:sz="12" w:space="0"/>
                    <w:right w:val="single" w:color="auto" w:sz="6" w:space="0"/>
                  </w:tcBorders>
                  <w:vAlign w:val="center"/>
                </w:tcPr>
                <w:p>
                  <w:pPr>
                    <w:pStyle w:val="25"/>
                    <w:spacing w:line="240" w:lineRule="auto"/>
                    <w:rPr>
                      <w:rFonts w:cs="Times New Roman"/>
                      <w:b/>
                      <w:szCs w:val="21"/>
                      <w:u w:val="single"/>
                    </w:rPr>
                  </w:pPr>
                </w:p>
              </w:tc>
              <w:tc>
                <w:tcPr>
                  <w:tcW w:w="972"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rPr>
                      <w:b/>
                      <w:color w:val="auto"/>
                      <w:sz w:val="21"/>
                      <w:szCs w:val="21"/>
                      <w:u w:val="single"/>
                    </w:rPr>
                  </w:pPr>
                  <w:r>
                    <w:rPr>
                      <w:rFonts w:hint="eastAsia"/>
                      <w:b/>
                      <w:color w:val="auto"/>
                      <w:sz w:val="21"/>
                      <w:szCs w:val="21"/>
                      <w:u w:val="single"/>
                    </w:rPr>
                    <w:t>焊接烟尘</w:t>
                  </w:r>
                </w:p>
              </w:tc>
              <w:tc>
                <w:tcPr>
                  <w:tcW w:w="1340" w:type="pct"/>
                  <w:tcBorders>
                    <w:left w:val="single" w:color="auto" w:sz="6" w:space="0"/>
                    <w:right w:val="single" w:color="auto" w:sz="6" w:space="0"/>
                  </w:tcBorders>
                  <w:vAlign w:val="center"/>
                </w:tcPr>
                <w:p>
                  <w:pPr>
                    <w:pStyle w:val="26"/>
                    <w:rPr>
                      <w:b/>
                      <w:color w:val="auto"/>
                      <w:sz w:val="21"/>
                      <w:szCs w:val="21"/>
                      <w:u w:val="single"/>
                    </w:rPr>
                  </w:pPr>
                  <w:r>
                    <w:rPr>
                      <w:rFonts w:hint="eastAsia"/>
                      <w:b/>
                      <w:color w:val="auto"/>
                      <w:sz w:val="21"/>
                      <w:szCs w:val="21"/>
                      <w:u w:val="single"/>
                    </w:rPr>
                    <w:t>集气罩+袋式除尘器+15m排气筒</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1套</w:t>
                  </w:r>
                </w:p>
              </w:tc>
              <w:tc>
                <w:tcPr>
                  <w:tcW w:w="1769" w:type="pct"/>
                  <w:vMerge w:val="continue"/>
                  <w:tcBorders>
                    <w:left w:val="single" w:color="auto" w:sz="6" w:space="0"/>
                    <w:right w:val="single" w:color="auto" w:sz="12" w:space="0"/>
                  </w:tcBorders>
                  <w:vAlign w:val="center"/>
                </w:tcPr>
                <w:p>
                  <w:pPr>
                    <w:pStyle w:val="25"/>
                    <w:spacing w:line="240" w:lineRule="auto"/>
                    <w:rPr>
                      <w:rFonts w:cs="Times New Roman"/>
                      <w:b/>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vMerge w:val="continue"/>
                  <w:tcBorders>
                    <w:left w:val="single" w:color="auto" w:sz="12" w:space="0"/>
                    <w:right w:val="single" w:color="auto" w:sz="6" w:space="0"/>
                  </w:tcBorders>
                  <w:vAlign w:val="center"/>
                </w:tcPr>
                <w:p>
                  <w:pPr>
                    <w:pStyle w:val="25"/>
                    <w:spacing w:line="240" w:lineRule="auto"/>
                    <w:rPr>
                      <w:rFonts w:cs="Times New Roman"/>
                      <w:b/>
                      <w:szCs w:val="21"/>
                      <w:u w:val="single"/>
                    </w:rPr>
                  </w:pPr>
                </w:p>
              </w:tc>
              <w:tc>
                <w:tcPr>
                  <w:tcW w:w="972" w:type="pct"/>
                  <w:tcBorders>
                    <w:top w:val="single" w:color="auto" w:sz="6" w:space="0"/>
                    <w:left w:val="single" w:color="auto" w:sz="6" w:space="0"/>
                    <w:right w:val="single" w:color="auto" w:sz="6" w:space="0"/>
                  </w:tcBorders>
                  <w:vAlign w:val="center"/>
                </w:tcPr>
                <w:p>
                  <w:pPr>
                    <w:pStyle w:val="26"/>
                    <w:framePr w:hSpace="0" w:wrap="auto" w:vAnchor="margin" w:hAnchor="text" w:xAlign="left" w:yAlign="inline"/>
                    <w:rPr>
                      <w:b/>
                      <w:color w:val="auto"/>
                      <w:sz w:val="21"/>
                      <w:szCs w:val="21"/>
                      <w:u w:val="single"/>
                    </w:rPr>
                  </w:pPr>
                  <w:r>
                    <w:rPr>
                      <w:rFonts w:hint="eastAsia"/>
                      <w:b/>
                      <w:color w:val="auto"/>
                      <w:sz w:val="21"/>
                      <w:szCs w:val="21"/>
                      <w:u w:val="single"/>
                    </w:rPr>
                    <w:t>打磨粉尘</w:t>
                  </w:r>
                </w:p>
              </w:tc>
              <w:tc>
                <w:tcPr>
                  <w:tcW w:w="1340" w:type="pct"/>
                  <w:tcBorders>
                    <w:left w:val="single" w:color="auto" w:sz="6" w:space="0"/>
                    <w:bottom w:val="single" w:color="auto" w:sz="6" w:space="0"/>
                    <w:right w:val="single" w:color="auto" w:sz="6" w:space="0"/>
                  </w:tcBorders>
                  <w:vAlign w:val="center"/>
                </w:tcPr>
                <w:p>
                  <w:pPr>
                    <w:pStyle w:val="26"/>
                    <w:rPr>
                      <w:b/>
                      <w:color w:val="auto"/>
                      <w:sz w:val="21"/>
                      <w:szCs w:val="21"/>
                      <w:u w:val="single"/>
                    </w:rPr>
                  </w:pPr>
                  <w:r>
                    <w:rPr>
                      <w:rFonts w:hint="eastAsia"/>
                      <w:b/>
                      <w:color w:val="auto"/>
                      <w:sz w:val="21"/>
                      <w:szCs w:val="21"/>
                      <w:u w:val="single"/>
                    </w:rPr>
                    <w:t>集气罩+袋式除尘器+15m排气筒</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1套</w:t>
                  </w:r>
                </w:p>
              </w:tc>
              <w:tc>
                <w:tcPr>
                  <w:tcW w:w="1769" w:type="pct"/>
                  <w:vMerge w:val="continue"/>
                  <w:tcBorders>
                    <w:left w:val="single" w:color="auto" w:sz="6" w:space="0"/>
                    <w:bottom w:val="single" w:color="auto" w:sz="6" w:space="0"/>
                    <w:right w:val="single" w:color="auto" w:sz="12" w:space="0"/>
                  </w:tcBorders>
                  <w:vAlign w:val="center"/>
                </w:tcPr>
                <w:p>
                  <w:pPr>
                    <w:pStyle w:val="25"/>
                    <w:spacing w:line="240" w:lineRule="auto"/>
                    <w:rPr>
                      <w:rFonts w:cs="Times New Roman"/>
                      <w:b/>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vMerge w:val="restart"/>
                  <w:tcBorders>
                    <w:top w:val="single" w:color="auto" w:sz="6" w:space="0"/>
                    <w:left w:val="single" w:color="auto" w:sz="12"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固废</w:t>
                  </w:r>
                </w:p>
              </w:tc>
              <w:tc>
                <w:tcPr>
                  <w:tcW w:w="972"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生活垃圾</w:t>
                  </w:r>
                </w:p>
              </w:tc>
              <w:tc>
                <w:tcPr>
                  <w:tcW w:w="1340"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 xml:space="preserve">垃圾桶 </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若干</w:t>
                  </w:r>
                </w:p>
              </w:tc>
              <w:tc>
                <w:tcPr>
                  <w:tcW w:w="1769" w:type="pct"/>
                  <w:tcBorders>
                    <w:top w:val="single" w:color="auto" w:sz="6" w:space="0"/>
                    <w:left w:val="single" w:color="auto" w:sz="6" w:space="0"/>
                    <w:bottom w:val="single" w:color="auto" w:sz="6" w:space="0"/>
                    <w:right w:val="single" w:color="auto" w:sz="12" w:space="0"/>
                  </w:tcBorders>
                  <w:vAlign w:val="center"/>
                </w:tcPr>
                <w:p>
                  <w:pPr>
                    <w:pStyle w:val="25"/>
                    <w:spacing w:line="240" w:lineRule="auto"/>
                    <w:rPr>
                      <w:rFonts w:cs="Times New Roman"/>
                      <w:b/>
                      <w:szCs w:val="21"/>
                      <w:u w:val="single"/>
                    </w:rPr>
                  </w:pPr>
                  <w:r>
                    <w:rPr>
                      <w:rFonts w:cs="Times New Roman"/>
                      <w:b/>
                      <w:szCs w:val="21"/>
                      <w:u w:val="single"/>
                    </w:rPr>
                    <w:t>收集后交由环卫部门处理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vMerge w:val="continue"/>
                  <w:tcBorders>
                    <w:left w:val="single" w:color="auto" w:sz="12" w:space="0"/>
                    <w:right w:val="single" w:color="auto" w:sz="6" w:space="0"/>
                  </w:tcBorders>
                  <w:vAlign w:val="center"/>
                </w:tcPr>
                <w:p>
                  <w:pPr>
                    <w:pStyle w:val="25"/>
                    <w:spacing w:line="240" w:lineRule="auto"/>
                    <w:rPr>
                      <w:rFonts w:cs="Times New Roman"/>
                      <w:b/>
                      <w:szCs w:val="21"/>
                      <w:highlight w:val="yellow"/>
                      <w:u w:val="single"/>
                    </w:rPr>
                  </w:pPr>
                </w:p>
              </w:tc>
              <w:tc>
                <w:tcPr>
                  <w:tcW w:w="972" w:type="pct"/>
                  <w:vAlign w:val="center"/>
                </w:tcPr>
                <w:p>
                  <w:pPr>
                    <w:pStyle w:val="26"/>
                    <w:framePr w:hSpace="0" w:wrap="auto" w:vAnchor="margin" w:hAnchor="text" w:xAlign="left" w:yAlign="inline"/>
                    <w:rPr>
                      <w:b/>
                      <w:color w:val="auto"/>
                      <w:sz w:val="21"/>
                      <w:szCs w:val="21"/>
                      <w:u w:val="single"/>
                    </w:rPr>
                  </w:pPr>
                  <w:r>
                    <w:rPr>
                      <w:rFonts w:hint="eastAsia"/>
                      <w:b/>
                      <w:color w:val="auto"/>
                      <w:sz w:val="21"/>
                      <w:szCs w:val="21"/>
                      <w:u w:val="single"/>
                    </w:rPr>
                    <w:t>废边角料、废金属屑、废焊渣</w:t>
                  </w:r>
                </w:p>
              </w:tc>
              <w:tc>
                <w:tcPr>
                  <w:tcW w:w="1340" w:type="pct"/>
                  <w:tcBorders>
                    <w:top w:val="single" w:color="auto" w:sz="6" w:space="0"/>
                    <w:left w:val="single" w:color="auto" w:sz="6" w:space="0"/>
                    <w:bottom w:val="single" w:color="auto" w:sz="6" w:space="0"/>
                    <w:right w:val="single" w:color="auto" w:sz="6" w:space="0"/>
                  </w:tcBorders>
                  <w:vAlign w:val="center"/>
                </w:tcPr>
                <w:p>
                  <w:pPr>
                    <w:pStyle w:val="26"/>
                    <w:framePr w:hSpace="0" w:wrap="auto" w:vAnchor="margin" w:hAnchor="text" w:xAlign="left" w:yAlign="inline"/>
                    <w:rPr>
                      <w:b/>
                      <w:color w:val="auto"/>
                      <w:sz w:val="21"/>
                      <w:szCs w:val="21"/>
                      <w:u w:val="single"/>
                    </w:rPr>
                  </w:pPr>
                  <w:r>
                    <w:rPr>
                      <w:rFonts w:hint="eastAsia"/>
                      <w:b/>
                      <w:color w:val="auto"/>
                      <w:sz w:val="21"/>
                      <w:szCs w:val="21"/>
                      <w:u w:val="single"/>
                    </w:rPr>
                    <w:t>2</w:t>
                  </w:r>
                  <w:r>
                    <w:rPr>
                      <w:b/>
                      <w:color w:val="auto"/>
                      <w:sz w:val="21"/>
                      <w:szCs w:val="21"/>
                      <w:u w:val="single"/>
                    </w:rPr>
                    <w:t>0m</w:t>
                  </w:r>
                  <w:r>
                    <w:rPr>
                      <w:b/>
                      <w:color w:val="auto"/>
                      <w:sz w:val="21"/>
                      <w:szCs w:val="21"/>
                      <w:u w:val="single"/>
                      <w:vertAlign w:val="superscript"/>
                    </w:rPr>
                    <w:t>2</w:t>
                  </w:r>
                  <w:r>
                    <w:rPr>
                      <w:b/>
                      <w:color w:val="auto"/>
                      <w:sz w:val="21"/>
                      <w:szCs w:val="21"/>
                      <w:u w:val="single"/>
                    </w:rPr>
                    <w:t>一般固废暂存间</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1间</w:t>
                  </w:r>
                </w:p>
              </w:tc>
              <w:tc>
                <w:tcPr>
                  <w:tcW w:w="1769" w:type="pct"/>
                  <w:tcBorders>
                    <w:top w:val="single" w:color="auto" w:sz="6" w:space="0"/>
                    <w:left w:val="single" w:color="auto" w:sz="6" w:space="0"/>
                    <w:bottom w:val="single" w:color="auto" w:sz="6" w:space="0"/>
                    <w:right w:val="single" w:color="auto" w:sz="12" w:space="0"/>
                  </w:tcBorders>
                  <w:vAlign w:val="center"/>
                </w:tcPr>
                <w:p>
                  <w:pPr>
                    <w:pStyle w:val="25"/>
                    <w:spacing w:line="240" w:lineRule="auto"/>
                    <w:rPr>
                      <w:rFonts w:cs="Times New Roman"/>
                      <w:b/>
                      <w:szCs w:val="21"/>
                      <w:u w:val="single"/>
                    </w:rPr>
                  </w:pPr>
                  <w:r>
                    <w:rPr>
                      <w:rFonts w:cs="Times New Roman"/>
                      <w:b/>
                      <w:szCs w:val="21"/>
                      <w:u w:val="single"/>
                    </w:rPr>
                    <w:t>《一般工业固体废物贮存、处置场污染控制标准》及其修改单（GB18599-2001）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vMerge w:val="continue"/>
                  <w:tcBorders>
                    <w:left w:val="single" w:color="auto" w:sz="12" w:space="0"/>
                    <w:right w:val="single" w:color="auto" w:sz="6" w:space="0"/>
                  </w:tcBorders>
                  <w:vAlign w:val="center"/>
                </w:tcPr>
                <w:p>
                  <w:pPr>
                    <w:pStyle w:val="25"/>
                    <w:spacing w:line="240" w:lineRule="auto"/>
                    <w:rPr>
                      <w:rFonts w:cs="Times New Roman"/>
                      <w:b/>
                      <w:szCs w:val="21"/>
                      <w:highlight w:val="yellow"/>
                      <w:u w:val="single"/>
                    </w:rPr>
                  </w:pPr>
                </w:p>
              </w:tc>
              <w:tc>
                <w:tcPr>
                  <w:tcW w:w="972" w:type="pct"/>
                  <w:vAlign w:val="center"/>
                </w:tcPr>
                <w:p>
                  <w:pPr>
                    <w:pStyle w:val="26"/>
                    <w:framePr w:hSpace="0" w:wrap="auto" w:vAnchor="margin" w:hAnchor="text" w:xAlign="left" w:yAlign="inline"/>
                    <w:rPr>
                      <w:b/>
                      <w:color w:val="auto"/>
                      <w:sz w:val="21"/>
                      <w:szCs w:val="21"/>
                      <w:u w:val="single"/>
                    </w:rPr>
                  </w:pPr>
                  <w:r>
                    <w:rPr>
                      <w:rFonts w:hint="eastAsia"/>
                      <w:b/>
                      <w:color w:val="auto"/>
                      <w:sz w:val="21"/>
                      <w:szCs w:val="21"/>
                      <w:u w:val="single"/>
                    </w:rPr>
                    <w:t>废液压油、废切削液</w:t>
                  </w:r>
                </w:p>
              </w:tc>
              <w:tc>
                <w:tcPr>
                  <w:tcW w:w="1340" w:type="pct"/>
                  <w:tcBorders>
                    <w:top w:val="single" w:color="auto" w:sz="6" w:space="0"/>
                    <w:left w:val="single" w:color="auto" w:sz="6" w:space="0"/>
                    <w:bottom w:val="single" w:color="auto" w:sz="6" w:space="0"/>
                    <w:right w:val="single" w:color="auto" w:sz="6" w:space="0"/>
                  </w:tcBorders>
                  <w:vAlign w:val="center"/>
                </w:tcPr>
                <w:p>
                  <w:pPr>
                    <w:pStyle w:val="25"/>
                    <w:spacing w:line="240" w:lineRule="auto"/>
                    <w:jc w:val="left"/>
                    <w:rPr>
                      <w:rFonts w:cs="Times New Roman"/>
                      <w:b/>
                      <w:szCs w:val="21"/>
                      <w:u w:val="single"/>
                    </w:rPr>
                  </w:pPr>
                  <w:r>
                    <w:rPr>
                      <w:rFonts w:cs="Times New Roman"/>
                      <w:b/>
                      <w:szCs w:val="21"/>
                      <w:u w:val="single"/>
                    </w:rPr>
                    <w:t>5m</w:t>
                  </w:r>
                  <w:r>
                    <w:rPr>
                      <w:rFonts w:cs="Times New Roman"/>
                      <w:b/>
                      <w:szCs w:val="21"/>
                      <w:u w:val="single"/>
                      <w:vertAlign w:val="superscript"/>
                    </w:rPr>
                    <w:t>2</w:t>
                  </w:r>
                  <w:r>
                    <w:rPr>
                      <w:rFonts w:hint="eastAsia" w:cs="Times New Roman"/>
                      <w:b/>
                      <w:szCs w:val="21"/>
                      <w:u w:val="single"/>
                    </w:rPr>
                    <w:t>危险废物</w:t>
                  </w:r>
                  <w:r>
                    <w:rPr>
                      <w:rFonts w:cs="Times New Roman"/>
                      <w:b/>
                      <w:szCs w:val="21"/>
                      <w:u w:val="single"/>
                    </w:rPr>
                    <w:t>暂存间</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1间</w:t>
                  </w:r>
                </w:p>
              </w:tc>
              <w:tc>
                <w:tcPr>
                  <w:tcW w:w="1769" w:type="pct"/>
                  <w:tcBorders>
                    <w:top w:val="single" w:color="auto" w:sz="6" w:space="0"/>
                    <w:left w:val="single" w:color="auto" w:sz="6" w:space="0"/>
                    <w:bottom w:val="single" w:color="auto" w:sz="6" w:space="0"/>
                    <w:right w:val="single" w:color="auto" w:sz="12" w:space="0"/>
                  </w:tcBorders>
                  <w:vAlign w:val="center"/>
                </w:tcPr>
                <w:p>
                  <w:pPr>
                    <w:pStyle w:val="25"/>
                    <w:spacing w:line="240" w:lineRule="auto"/>
                    <w:rPr>
                      <w:rFonts w:cs="Times New Roman"/>
                      <w:b/>
                      <w:szCs w:val="21"/>
                      <w:u w:val="single"/>
                    </w:rPr>
                  </w:pPr>
                  <w:r>
                    <w:rPr>
                      <w:rFonts w:cs="Times New Roman"/>
                      <w:b/>
                      <w:szCs w:val="21"/>
                      <w:u w:val="single"/>
                    </w:rPr>
                    <w:t>《危险废物贮存污染控制标准》（GB 18597-2001）及</w:t>
                  </w:r>
                  <w:r>
                    <w:rPr>
                      <w:rFonts w:hint="eastAsia" w:cs="Times New Roman"/>
                      <w:b/>
                      <w:szCs w:val="21"/>
                      <w:u w:val="single"/>
                    </w:rPr>
                    <w:t>2013年</w:t>
                  </w:r>
                  <w:r>
                    <w:rPr>
                      <w:rFonts w:cs="Times New Roman"/>
                      <w:b/>
                      <w:szCs w:val="21"/>
                      <w:u w:val="single"/>
                    </w:rPr>
                    <w:t>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413" w:type="pct"/>
                  <w:tcBorders>
                    <w:top w:val="single" w:color="auto" w:sz="6" w:space="0"/>
                    <w:left w:val="single" w:color="auto" w:sz="12"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噪声</w:t>
                  </w:r>
                </w:p>
              </w:tc>
              <w:tc>
                <w:tcPr>
                  <w:tcW w:w="972"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高噪声设备</w:t>
                  </w:r>
                </w:p>
              </w:tc>
              <w:tc>
                <w:tcPr>
                  <w:tcW w:w="1340"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hint="eastAsia" w:cs="Times New Roman"/>
                      <w:b/>
                      <w:szCs w:val="21"/>
                      <w:u w:val="single"/>
                    </w:rPr>
                    <w:t>基础减震、厂房隔声、距离衰减</w:t>
                  </w:r>
                </w:p>
              </w:tc>
              <w:tc>
                <w:tcPr>
                  <w:tcW w:w="505" w:type="pct"/>
                  <w:tcBorders>
                    <w:top w:val="single" w:color="auto" w:sz="6" w:space="0"/>
                    <w:left w:val="single" w:color="auto" w:sz="6" w:space="0"/>
                    <w:bottom w:val="single" w:color="auto" w:sz="6" w:space="0"/>
                    <w:right w:val="single" w:color="auto" w:sz="6" w:space="0"/>
                  </w:tcBorders>
                  <w:vAlign w:val="center"/>
                </w:tcPr>
                <w:p>
                  <w:pPr>
                    <w:pStyle w:val="25"/>
                    <w:spacing w:line="240" w:lineRule="auto"/>
                    <w:rPr>
                      <w:rFonts w:cs="Times New Roman"/>
                      <w:b/>
                      <w:szCs w:val="21"/>
                      <w:u w:val="single"/>
                    </w:rPr>
                  </w:pPr>
                  <w:r>
                    <w:rPr>
                      <w:rFonts w:cs="Times New Roman"/>
                      <w:b/>
                      <w:szCs w:val="21"/>
                      <w:u w:val="single"/>
                    </w:rPr>
                    <w:t>/</w:t>
                  </w:r>
                </w:p>
              </w:tc>
              <w:tc>
                <w:tcPr>
                  <w:tcW w:w="1769" w:type="pct"/>
                  <w:tcBorders>
                    <w:top w:val="single" w:color="auto" w:sz="6" w:space="0"/>
                    <w:left w:val="single" w:color="auto" w:sz="6" w:space="0"/>
                    <w:bottom w:val="single" w:color="auto" w:sz="6" w:space="0"/>
                    <w:right w:val="single" w:color="auto" w:sz="12" w:space="0"/>
                  </w:tcBorders>
                  <w:vAlign w:val="center"/>
                </w:tcPr>
                <w:p>
                  <w:pPr>
                    <w:pStyle w:val="25"/>
                    <w:spacing w:line="240" w:lineRule="auto"/>
                    <w:rPr>
                      <w:rFonts w:cs="Times New Roman"/>
                      <w:b/>
                      <w:szCs w:val="21"/>
                      <w:u w:val="single"/>
                    </w:rPr>
                  </w:pPr>
                  <w:r>
                    <w:rPr>
                      <w:rFonts w:cs="Times New Roman"/>
                      <w:b/>
                      <w:szCs w:val="21"/>
                      <w:u w:val="single"/>
                    </w:rPr>
                    <w:t>GB12348-2008《工业企业厂界环境噪声排放标准》2类</w:t>
                  </w:r>
                </w:p>
              </w:tc>
            </w:tr>
          </w:tbl>
          <w:p>
            <w:pPr>
              <w:ind w:firstLine="480"/>
            </w:pPr>
          </w:p>
          <w:p>
            <w:pPr>
              <w:ind w:firstLine="480"/>
              <w:jc w:val="both"/>
              <w:rPr>
                <w:highlight w:val="yellow"/>
              </w:rPr>
            </w:pPr>
          </w:p>
        </w:tc>
      </w:tr>
    </w:tbl>
    <w:p>
      <w:pPr>
        <w:ind w:firstLine="249" w:firstLineChars="83"/>
        <w:rPr>
          <w:b/>
          <w:sz w:val="30"/>
          <w:szCs w:val="30"/>
          <w:highlight w:val="yellow"/>
        </w:rPr>
        <w:sectPr>
          <w:pgSz w:w="11906" w:h="16838"/>
          <w:pgMar w:top="1701" w:right="1588" w:bottom="1985" w:left="1588" w:header="851" w:footer="992" w:gutter="0"/>
          <w:cols w:space="720" w:num="1"/>
          <w:docGrid w:type="linesAndChars" w:linePitch="312" w:charSpace="0"/>
        </w:sectPr>
      </w:pPr>
    </w:p>
    <w:p>
      <w:pPr>
        <w:spacing w:line="240" w:lineRule="auto"/>
        <w:ind w:left="-120" w:leftChars="-50" w:firstLine="0" w:firstLineChars="0"/>
        <w:rPr>
          <w:b/>
          <w:sz w:val="30"/>
          <w:szCs w:val="30"/>
        </w:rPr>
      </w:pPr>
      <w:r>
        <w:rPr>
          <w:rFonts w:hint="eastAsia"/>
          <w:b/>
          <w:sz w:val="30"/>
          <w:szCs w:val="30"/>
        </w:rPr>
        <w:t>建设项目运营期拟采取的防治措施及预期治理效果</w:t>
      </w:r>
    </w:p>
    <w:tbl>
      <w:tblPr>
        <w:tblStyle w:val="20"/>
        <w:tblpPr w:leftFromText="181" w:rightFromText="181" w:vertAnchor="text" w:tblpX="58" w:tblpY="1"/>
        <w:tblW w:w="86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959"/>
        <w:gridCol w:w="1134"/>
        <w:gridCol w:w="1276"/>
        <w:gridCol w:w="2551"/>
        <w:gridCol w:w="2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3" w:hRule="atLeast"/>
        </w:trPr>
        <w:tc>
          <w:tcPr>
            <w:tcW w:w="959" w:type="dxa"/>
            <w:tcBorders>
              <w:top w:val="single" w:color="auto" w:sz="12" w:space="0"/>
              <w:tl2br w:val="single" w:color="auto" w:sz="6" w:space="0"/>
            </w:tcBorders>
            <w:vAlign w:val="center"/>
          </w:tcPr>
          <w:p>
            <w:pPr>
              <w:pStyle w:val="26"/>
              <w:framePr w:hSpace="0" w:wrap="auto" w:vAnchor="margin" w:hAnchor="text" w:xAlign="left" w:yAlign="inline"/>
              <w:spacing w:line="240" w:lineRule="auto"/>
              <w:jc w:val="both"/>
              <w:rPr>
                <w:b/>
                <w:color w:val="auto"/>
                <w:u w:val="single"/>
              </w:rPr>
            </w:pPr>
            <w:r>
              <w:rPr>
                <w:rFonts w:hint="eastAsia"/>
                <w:b/>
                <w:color w:val="auto"/>
                <w:u w:val="single"/>
              </w:rPr>
              <w:t xml:space="preserve">  名称类别</w:t>
            </w:r>
          </w:p>
        </w:tc>
        <w:tc>
          <w:tcPr>
            <w:tcW w:w="1134" w:type="dxa"/>
            <w:tcBorders>
              <w:top w:val="single" w:color="auto" w:sz="12"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排放源</w:t>
            </w:r>
          </w:p>
        </w:tc>
        <w:tc>
          <w:tcPr>
            <w:tcW w:w="1276" w:type="dxa"/>
            <w:tcBorders>
              <w:top w:val="single" w:color="auto" w:sz="12"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污染物名称</w:t>
            </w:r>
          </w:p>
        </w:tc>
        <w:tc>
          <w:tcPr>
            <w:tcW w:w="2551" w:type="dxa"/>
            <w:tcBorders>
              <w:top w:val="single" w:color="auto" w:sz="12"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防治措施</w:t>
            </w:r>
          </w:p>
        </w:tc>
        <w:tc>
          <w:tcPr>
            <w:tcW w:w="2711" w:type="dxa"/>
            <w:tcBorders>
              <w:top w:val="single" w:color="auto" w:sz="12"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063" w:hRule="atLeast"/>
        </w:trPr>
        <w:tc>
          <w:tcPr>
            <w:tcW w:w="959"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水污染物</w:t>
            </w:r>
          </w:p>
        </w:tc>
        <w:tc>
          <w:tcPr>
            <w:tcW w:w="1134"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办公生活</w:t>
            </w:r>
          </w:p>
        </w:tc>
        <w:tc>
          <w:tcPr>
            <w:tcW w:w="1276" w:type="dxa"/>
            <w:vAlign w:val="center"/>
          </w:tcPr>
          <w:p>
            <w:pPr>
              <w:pStyle w:val="26"/>
              <w:framePr w:hSpace="0" w:wrap="auto" w:vAnchor="margin" w:hAnchor="text" w:xAlign="left" w:yAlign="inline"/>
              <w:spacing w:line="240" w:lineRule="auto"/>
              <w:rPr>
                <w:b/>
                <w:color w:val="auto"/>
                <w:u w:val="single"/>
              </w:rPr>
            </w:pPr>
            <w:r>
              <w:rPr>
                <w:b/>
                <w:color w:val="auto"/>
                <w:u w:val="single"/>
              </w:rPr>
              <w:t>COD</w:t>
            </w:r>
            <w:r>
              <w:rPr>
                <w:rFonts w:hint="eastAsia"/>
                <w:b/>
                <w:color w:val="auto"/>
                <w:u w:val="single"/>
              </w:rPr>
              <w:t>、氨氮</w:t>
            </w:r>
          </w:p>
        </w:tc>
        <w:tc>
          <w:tcPr>
            <w:tcW w:w="2551"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生活污水排入化粪池处理后由附近村民拉走肥田。</w:t>
            </w:r>
          </w:p>
        </w:tc>
        <w:tc>
          <w:tcPr>
            <w:tcW w:w="2711"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063" w:hRule="atLeast"/>
        </w:trPr>
        <w:tc>
          <w:tcPr>
            <w:tcW w:w="959" w:type="dxa"/>
            <w:vMerge w:val="restart"/>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大气污染物</w:t>
            </w:r>
          </w:p>
        </w:tc>
        <w:tc>
          <w:tcPr>
            <w:tcW w:w="1134" w:type="dxa"/>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切割粉尘</w:t>
            </w:r>
          </w:p>
        </w:tc>
        <w:tc>
          <w:tcPr>
            <w:tcW w:w="1276"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颗粒物</w:t>
            </w:r>
          </w:p>
        </w:tc>
        <w:tc>
          <w:tcPr>
            <w:tcW w:w="2551"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集气罩收集后经袋式除尘器处理后通过15m高排气筒排放</w:t>
            </w:r>
          </w:p>
        </w:tc>
        <w:tc>
          <w:tcPr>
            <w:tcW w:w="2711" w:type="dxa"/>
            <w:vMerge w:val="restart"/>
            <w:vAlign w:val="center"/>
          </w:tcPr>
          <w:p>
            <w:pPr>
              <w:pStyle w:val="26"/>
              <w:framePr w:hSpace="0" w:wrap="auto" w:vAnchor="margin" w:hAnchor="text" w:xAlign="left" w:yAlign="inline"/>
              <w:spacing w:line="240" w:lineRule="auto"/>
              <w:rPr>
                <w:b/>
                <w:color w:val="auto"/>
                <w:u w:val="single"/>
              </w:rPr>
            </w:pPr>
            <w:r>
              <w:rPr>
                <w:b/>
                <w:color w:val="auto"/>
                <w:u w:val="single"/>
              </w:rPr>
              <w:t>《大气污染物综合排放标准》（GB16297-1996）表2</w:t>
            </w:r>
            <w:r>
              <w:rPr>
                <w:rFonts w:hint="eastAsia"/>
                <w:b/>
                <w:color w:val="auto"/>
                <w:u w:val="single"/>
              </w:rPr>
              <w:t>二级标准要求（颗粒物：120mg/m</w:t>
            </w:r>
            <w:r>
              <w:rPr>
                <w:rFonts w:hint="eastAsia"/>
                <w:b/>
                <w:color w:val="auto"/>
                <w:u w:val="single"/>
                <w:vertAlign w:val="superscript"/>
              </w:rPr>
              <w:t>3</w:t>
            </w:r>
            <w:r>
              <w:rPr>
                <w:rFonts w:hint="eastAsia"/>
                <w:b/>
                <w:color w:val="auto"/>
                <w:u w:val="single"/>
              </w:rPr>
              <w:t>、3.5kg/h（15m排气筒））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063" w:hRule="atLeast"/>
        </w:trPr>
        <w:tc>
          <w:tcPr>
            <w:tcW w:w="959" w:type="dxa"/>
            <w:vMerge w:val="continue"/>
            <w:vAlign w:val="center"/>
          </w:tcPr>
          <w:p>
            <w:pPr>
              <w:pStyle w:val="26"/>
              <w:framePr w:hSpace="0" w:wrap="auto" w:vAnchor="margin" w:hAnchor="text" w:xAlign="left" w:yAlign="inline"/>
              <w:spacing w:line="240" w:lineRule="auto"/>
              <w:rPr>
                <w:b/>
                <w:color w:val="auto"/>
                <w:u w:val="single"/>
              </w:rPr>
            </w:pPr>
          </w:p>
        </w:tc>
        <w:tc>
          <w:tcPr>
            <w:tcW w:w="1134" w:type="dxa"/>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焊接烟尘</w:t>
            </w:r>
          </w:p>
        </w:tc>
        <w:tc>
          <w:tcPr>
            <w:tcW w:w="1276"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颗粒物</w:t>
            </w:r>
          </w:p>
        </w:tc>
        <w:tc>
          <w:tcPr>
            <w:tcW w:w="2551"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集气罩收集后经袋式除尘器处理后通过15m高排气筒排放</w:t>
            </w:r>
          </w:p>
        </w:tc>
        <w:tc>
          <w:tcPr>
            <w:tcW w:w="2711" w:type="dxa"/>
            <w:vMerge w:val="continue"/>
            <w:vAlign w:val="center"/>
          </w:tcPr>
          <w:p>
            <w:pPr>
              <w:pStyle w:val="26"/>
              <w:framePr w:hSpace="0" w:wrap="auto" w:vAnchor="margin" w:hAnchor="text" w:xAlign="left" w:yAlign="inline"/>
              <w:spacing w:line="240" w:lineRule="auto"/>
              <w:rPr>
                <w:b/>
                <w:color w:val="auto"/>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063" w:hRule="atLeast"/>
        </w:trPr>
        <w:tc>
          <w:tcPr>
            <w:tcW w:w="959" w:type="dxa"/>
            <w:vMerge w:val="continue"/>
            <w:vAlign w:val="center"/>
          </w:tcPr>
          <w:p>
            <w:pPr>
              <w:pStyle w:val="26"/>
              <w:framePr w:hSpace="0" w:wrap="auto" w:vAnchor="margin" w:hAnchor="text" w:xAlign="left" w:yAlign="inline"/>
              <w:spacing w:line="240" w:lineRule="auto"/>
              <w:rPr>
                <w:b/>
                <w:color w:val="auto"/>
                <w:u w:val="single"/>
              </w:rPr>
            </w:pPr>
          </w:p>
        </w:tc>
        <w:tc>
          <w:tcPr>
            <w:tcW w:w="1134" w:type="dxa"/>
            <w:tcBorders>
              <w:top w:val="single" w:color="auto" w:sz="6" w:space="0"/>
              <w:left w:val="single" w:color="auto" w:sz="6" w:space="0"/>
              <w:right w:val="single" w:color="auto" w:sz="6" w:space="0"/>
            </w:tcBorders>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打磨粉尘</w:t>
            </w:r>
          </w:p>
        </w:tc>
        <w:tc>
          <w:tcPr>
            <w:tcW w:w="1276"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颗粒物</w:t>
            </w:r>
          </w:p>
        </w:tc>
        <w:tc>
          <w:tcPr>
            <w:tcW w:w="2551"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集气罩收集后经袋式除尘器处理后通过15m高排气筒排放</w:t>
            </w:r>
          </w:p>
        </w:tc>
        <w:tc>
          <w:tcPr>
            <w:tcW w:w="2711" w:type="dxa"/>
            <w:vMerge w:val="continue"/>
            <w:vAlign w:val="center"/>
          </w:tcPr>
          <w:p>
            <w:pPr>
              <w:pStyle w:val="26"/>
              <w:framePr w:hSpace="0" w:wrap="auto" w:vAnchor="margin" w:hAnchor="text" w:xAlign="left" w:yAlign="inline"/>
              <w:spacing w:line="240" w:lineRule="auto"/>
              <w:rPr>
                <w:b/>
                <w:color w:val="auto"/>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3" w:hRule="atLeast"/>
        </w:trPr>
        <w:tc>
          <w:tcPr>
            <w:tcW w:w="959" w:type="dxa"/>
            <w:vMerge w:val="restart"/>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固体废物</w:t>
            </w:r>
          </w:p>
        </w:tc>
        <w:tc>
          <w:tcPr>
            <w:tcW w:w="1134" w:type="dxa"/>
            <w:vAlign w:val="center"/>
          </w:tcPr>
          <w:p>
            <w:pPr>
              <w:spacing w:line="240" w:lineRule="auto"/>
              <w:ind w:firstLine="0" w:firstLineChars="0"/>
              <w:jc w:val="center"/>
              <w:rPr>
                <w:b/>
                <w:u w:val="single"/>
              </w:rPr>
            </w:pPr>
            <w:r>
              <w:rPr>
                <w:b/>
                <w:u w:val="single"/>
              </w:rPr>
              <w:t>职工</w:t>
            </w:r>
            <w:r>
              <w:rPr>
                <w:rFonts w:hint="eastAsia"/>
                <w:b/>
                <w:u w:val="single"/>
              </w:rPr>
              <w:t>生活</w:t>
            </w:r>
          </w:p>
        </w:tc>
        <w:tc>
          <w:tcPr>
            <w:tcW w:w="1276" w:type="dxa"/>
            <w:vAlign w:val="center"/>
          </w:tcPr>
          <w:p>
            <w:pPr>
              <w:spacing w:line="240" w:lineRule="auto"/>
              <w:ind w:firstLine="0" w:firstLineChars="0"/>
              <w:jc w:val="center"/>
              <w:rPr>
                <w:b/>
                <w:u w:val="single"/>
              </w:rPr>
            </w:pPr>
            <w:r>
              <w:rPr>
                <w:b/>
                <w:u w:val="single"/>
              </w:rPr>
              <w:t>生活垃圾</w:t>
            </w:r>
          </w:p>
        </w:tc>
        <w:tc>
          <w:tcPr>
            <w:tcW w:w="2551" w:type="dxa"/>
            <w:vAlign w:val="center"/>
          </w:tcPr>
          <w:p>
            <w:pPr>
              <w:adjustRightInd w:val="0"/>
              <w:snapToGrid w:val="0"/>
              <w:spacing w:line="240" w:lineRule="auto"/>
              <w:ind w:firstLine="0" w:firstLineChars="0"/>
              <w:jc w:val="center"/>
              <w:rPr>
                <w:b/>
                <w:u w:val="single"/>
              </w:rPr>
            </w:pPr>
            <w:r>
              <w:rPr>
                <w:b/>
                <w:u w:val="single"/>
              </w:rPr>
              <w:t>收集后交由环卫部门处理</w:t>
            </w:r>
          </w:p>
        </w:tc>
        <w:tc>
          <w:tcPr>
            <w:tcW w:w="2711"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处置率</w:t>
            </w:r>
            <w:r>
              <w:rPr>
                <w:b/>
                <w:color w:val="auto"/>
                <w:u w:val="singl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3" w:hRule="atLeast"/>
        </w:trPr>
        <w:tc>
          <w:tcPr>
            <w:tcW w:w="959" w:type="dxa"/>
            <w:vMerge w:val="continue"/>
            <w:vAlign w:val="center"/>
          </w:tcPr>
          <w:p>
            <w:pPr>
              <w:pStyle w:val="26"/>
              <w:framePr w:hSpace="0" w:wrap="auto" w:vAnchor="margin" w:hAnchor="text" w:xAlign="left" w:yAlign="inline"/>
              <w:spacing w:line="240" w:lineRule="auto"/>
              <w:rPr>
                <w:b/>
                <w:color w:val="auto"/>
                <w:u w:val="single"/>
              </w:rPr>
            </w:pPr>
          </w:p>
        </w:tc>
        <w:tc>
          <w:tcPr>
            <w:tcW w:w="1134" w:type="dxa"/>
            <w:vAlign w:val="center"/>
          </w:tcPr>
          <w:p>
            <w:pPr>
              <w:pStyle w:val="26"/>
              <w:framePr w:hSpace="0" w:wrap="auto" w:vAnchor="margin" w:hAnchor="text" w:xAlign="left" w:yAlign="inline"/>
              <w:spacing w:line="240" w:lineRule="auto"/>
              <w:jc w:val="left"/>
              <w:rPr>
                <w:b/>
                <w:color w:val="auto"/>
                <w:u w:val="single"/>
              </w:rPr>
            </w:pPr>
            <w:r>
              <w:rPr>
                <w:rFonts w:hint="eastAsia"/>
                <w:b/>
                <w:color w:val="auto"/>
                <w:u w:val="single"/>
              </w:rPr>
              <w:t>一般固废</w:t>
            </w:r>
          </w:p>
        </w:tc>
        <w:tc>
          <w:tcPr>
            <w:tcW w:w="1276" w:type="dxa"/>
            <w:vAlign w:val="center"/>
          </w:tcPr>
          <w:p>
            <w:pPr>
              <w:snapToGrid w:val="0"/>
              <w:spacing w:line="240" w:lineRule="auto"/>
              <w:ind w:firstLine="0" w:firstLineChars="0"/>
              <w:rPr>
                <w:b/>
                <w:bCs/>
                <w:u w:val="single"/>
              </w:rPr>
            </w:pPr>
            <w:r>
              <w:rPr>
                <w:rFonts w:hint="eastAsia"/>
                <w:b/>
                <w:bCs/>
                <w:u w:val="single"/>
              </w:rPr>
              <w:t>废边角料、废金属屑、废焊渣</w:t>
            </w:r>
          </w:p>
        </w:tc>
        <w:tc>
          <w:tcPr>
            <w:tcW w:w="2551" w:type="dxa"/>
            <w:vAlign w:val="center"/>
          </w:tcPr>
          <w:p>
            <w:pPr>
              <w:spacing w:line="240" w:lineRule="auto"/>
              <w:ind w:firstLine="0" w:firstLineChars="0"/>
              <w:rPr>
                <w:b/>
                <w:bCs/>
                <w:u w:val="single"/>
              </w:rPr>
            </w:pPr>
            <w:r>
              <w:rPr>
                <w:rFonts w:hint="eastAsia"/>
                <w:b/>
                <w:bCs/>
                <w:u w:val="single"/>
              </w:rPr>
              <w:t>一般固废暂存区暂存后外售</w:t>
            </w:r>
          </w:p>
        </w:tc>
        <w:tc>
          <w:tcPr>
            <w:tcW w:w="2711" w:type="dxa"/>
            <w:vAlign w:val="center"/>
          </w:tcPr>
          <w:p>
            <w:pPr>
              <w:spacing w:line="240" w:lineRule="auto"/>
              <w:ind w:firstLine="0" w:firstLineChars="0"/>
              <w:rPr>
                <w:b/>
                <w:u w:val="single"/>
              </w:rPr>
            </w:pPr>
            <w:r>
              <w:rPr>
                <w:rFonts w:hint="eastAsia"/>
                <w:b/>
                <w:u w:val="single"/>
              </w:rPr>
              <w:t>满足</w:t>
            </w:r>
            <w:r>
              <w:rPr>
                <w:b/>
                <w:u w:val="single"/>
              </w:rPr>
              <w:t>《一般工业固体废物贮存、处置场污染控制标准》（GB18599-2001）及2013 年修改单中的有关规定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3" w:hRule="atLeast"/>
        </w:trPr>
        <w:tc>
          <w:tcPr>
            <w:tcW w:w="959" w:type="dxa"/>
            <w:vMerge w:val="continue"/>
            <w:vAlign w:val="center"/>
          </w:tcPr>
          <w:p>
            <w:pPr>
              <w:pStyle w:val="26"/>
              <w:framePr w:hSpace="0" w:wrap="auto" w:vAnchor="margin" w:hAnchor="text" w:xAlign="left" w:yAlign="inline"/>
              <w:spacing w:line="240" w:lineRule="auto"/>
              <w:rPr>
                <w:b/>
                <w:color w:val="auto"/>
                <w:highlight w:val="yellow"/>
                <w:u w:val="single"/>
              </w:rPr>
            </w:pPr>
          </w:p>
        </w:tc>
        <w:tc>
          <w:tcPr>
            <w:tcW w:w="1134" w:type="dxa"/>
            <w:vAlign w:val="center"/>
          </w:tcPr>
          <w:p>
            <w:pPr>
              <w:pStyle w:val="26"/>
              <w:framePr w:hSpace="0" w:wrap="auto" w:vAnchor="margin" w:hAnchor="text" w:xAlign="left" w:yAlign="inline"/>
              <w:spacing w:line="240" w:lineRule="auto"/>
              <w:jc w:val="left"/>
              <w:rPr>
                <w:b/>
                <w:color w:val="auto"/>
                <w:u w:val="single"/>
              </w:rPr>
            </w:pPr>
            <w:r>
              <w:rPr>
                <w:rFonts w:hint="eastAsia"/>
                <w:b/>
                <w:color w:val="auto"/>
                <w:u w:val="single"/>
              </w:rPr>
              <w:t>危险固废</w:t>
            </w:r>
          </w:p>
        </w:tc>
        <w:tc>
          <w:tcPr>
            <w:tcW w:w="1276" w:type="dxa"/>
            <w:vAlign w:val="center"/>
          </w:tcPr>
          <w:p>
            <w:pPr>
              <w:snapToGrid w:val="0"/>
              <w:spacing w:line="240" w:lineRule="auto"/>
              <w:ind w:firstLine="0" w:firstLineChars="0"/>
              <w:rPr>
                <w:b/>
                <w:bCs/>
                <w:u w:val="single"/>
              </w:rPr>
            </w:pPr>
            <w:r>
              <w:rPr>
                <w:rFonts w:hint="eastAsia"/>
                <w:b/>
                <w:u w:val="single"/>
              </w:rPr>
              <w:t>废液压油、废切削液</w:t>
            </w:r>
          </w:p>
        </w:tc>
        <w:tc>
          <w:tcPr>
            <w:tcW w:w="2551" w:type="dxa"/>
            <w:vAlign w:val="center"/>
          </w:tcPr>
          <w:p>
            <w:pPr>
              <w:spacing w:line="240" w:lineRule="auto"/>
              <w:ind w:firstLine="0" w:firstLineChars="0"/>
              <w:rPr>
                <w:b/>
                <w:bCs/>
                <w:u w:val="single"/>
              </w:rPr>
            </w:pPr>
            <w:r>
              <w:rPr>
                <w:rFonts w:hint="eastAsia"/>
                <w:b/>
                <w:bCs/>
                <w:u w:val="single"/>
              </w:rPr>
              <w:t>危废暂存间</w:t>
            </w:r>
            <w:r>
              <w:rPr>
                <w:b/>
                <w:bCs/>
                <w:u w:val="single"/>
              </w:rPr>
              <w:t>暂存后，委托有资质单位处置</w:t>
            </w:r>
          </w:p>
        </w:tc>
        <w:tc>
          <w:tcPr>
            <w:tcW w:w="2711" w:type="dxa"/>
            <w:vAlign w:val="center"/>
          </w:tcPr>
          <w:p>
            <w:pPr>
              <w:spacing w:line="240" w:lineRule="auto"/>
              <w:ind w:firstLine="0" w:firstLineChars="0"/>
              <w:rPr>
                <w:b/>
                <w:u w:val="single"/>
              </w:rPr>
            </w:pPr>
            <w:r>
              <w:rPr>
                <w:rFonts w:hint="eastAsia"/>
                <w:b/>
                <w:u w:val="single"/>
              </w:rPr>
              <w:t>满足</w:t>
            </w:r>
            <w:r>
              <w:rPr>
                <w:b/>
                <w:u w:val="single"/>
              </w:rPr>
              <w:t>《危险废物贮存污染控制标准》（GB 18597-2001）及其修改单</w:t>
            </w:r>
            <w:r>
              <w:rPr>
                <w:rFonts w:hint="eastAsia"/>
                <w:b/>
                <w:u w:val="single"/>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3" w:hRule="atLeast"/>
        </w:trPr>
        <w:tc>
          <w:tcPr>
            <w:tcW w:w="959" w:type="dxa"/>
            <w:vAlign w:val="center"/>
          </w:tcPr>
          <w:p>
            <w:pPr>
              <w:pStyle w:val="26"/>
              <w:framePr w:hSpace="0" w:wrap="auto" w:vAnchor="margin" w:hAnchor="text" w:xAlign="left" w:yAlign="inline"/>
              <w:spacing w:line="240" w:lineRule="auto"/>
              <w:rPr>
                <w:b/>
                <w:color w:val="auto"/>
                <w:u w:val="single"/>
              </w:rPr>
            </w:pPr>
            <w:r>
              <w:rPr>
                <w:rFonts w:hint="eastAsia"/>
                <w:b/>
                <w:color w:val="auto"/>
                <w:u w:val="single"/>
              </w:rPr>
              <w:t>噪声</w:t>
            </w:r>
          </w:p>
        </w:tc>
        <w:tc>
          <w:tcPr>
            <w:tcW w:w="2410" w:type="dxa"/>
            <w:gridSpan w:val="2"/>
            <w:vAlign w:val="center"/>
          </w:tcPr>
          <w:p>
            <w:pPr>
              <w:pStyle w:val="26"/>
              <w:framePr w:hSpace="0" w:wrap="auto" w:vAnchor="margin" w:hAnchor="text" w:xAlign="left" w:yAlign="inline"/>
              <w:spacing w:line="240" w:lineRule="auto"/>
              <w:rPr>
                <w:b/>
                <w:snapToGrid w:val="0"/>
                <w:color w:val="auto"/>
                <w:u w:val="single"/>
              </w:rPr>
            </w:pPr>
            <w:r>
              <w:rPr>
                <w:b/>
                <w:color w:val="auto"/>
                <w:u w:val="single"/>
              </w:rPr>
              <w:t>主要是</w:t>
            </w:r>
            <w:r>
              <w:rPr>
                <w:rFonts w:hint="eastAsia"/>
                <w:b/>
                <w:color w:val="auto"/>
                <w:u w:val="single"/>
              </w:rPr>
              <w:t>设备生产时</w:t>
            </w:r>
            <w:r>
              <w:rPr>
                <w:b/>
                <w:color w:val="auto"/>
                <w:u w:val="single"/>
              </w:rPr>
              <w:t>产生的噪声</w:t>
            </w:r>
          </w:p>
        </w:tc>
        <w:tc>
          <w:tcPr>
            <w:tcW w:w="2551" w:type="dxa"/>
            <w:vAlign w:val="center"/>
          </w:tcPr>
          <w:p>
            <w:pPr>
              <w:pStyle w:val="26"/>
              <w:framePr w:hSpace="0" w:wrap="auto" w:vAnchor="margin" w:hAnchor="text" w:xAlign="left" w:yAlign="inline"/>
              <w:spacing w:line="240" w:lineRule="auto"/>
              <w:rPr>
                <w:b/>
                <w:snapToGrid w:val="0"/>
                <w:color w:val="auto"/>
                <w:u w:val="single"/>
              </w:rPr>
            </w:pPr>
            <w:r>
              <w:rPr>
                <w:b/>
                <w:snapToGrid w:val="0"/>
                <w:color w:val="auto"/>
                <w:u w:val="single"/>
              </w:rPr>
              <w:t>厂房隔声、基础减震和距离衰减</w:t>
            </w:r>
          </w:p>
        </w:tc>
        <w:tc>
          <w:tcPr>
            <w:tcW w:w="2711" w:type="dxa"/>
            <w:vAlign w:val="center"/>
          </w:tcPr>
          <w:p>
            <w:pPr>
              <w:pStyle w:val="26"/>
              <w:framePr w:hSpace="0" w:wrap="auto" w:vAnchor="margin" w:hAnchor="text" w:xAlign="left" w:yAlign="inline"/>
              <w:spacing w:line="240" w:lineRule="auto"/>
              <w:rPr>
                <w:b/>
                <w:snapToGrid w:val="0"/>
                <w:color w:val="auto"/>
                <w:u w:val="single"/>
              </w:rPr>
            </w:pPr>
            <w:r>
              <w:rPr>
                <w:rFonts w:hint="eastAsia"/>
                <w:b/>
                <w:snapToGrid w:val="0"/>
                <w:color w:val="auto"/>
                <w:u w:val="single"/>
              </w:rPr>
              <w:t>厂界满足《工业企业厂界噪声标准》（</w:t>
            </w:r>
            <w:r>
              <w:rPr>
                <w:b/>
                <w:snapToGrid w:val="0"/>
                <w:color w:val="auto"/>
                <w:u w:val="single"/>
              </w:rPr>
              <w:t>GB12348-2008</w:t>
            </w:r>
            <w:r>
              <w:rPr>
                <w:rFonts w:hint="eastAsia"/>
                <w:b/>
                <w:snapToGrid w:val="0"/>
                <w:color w:val="auto"/>
                <w:u w:val="single"/>
              </w:rPr>
              <w:t>）中的2类标准的要求</w:t>
            </w:r>
            <w:r>
              <w:rPr>
                <w:b/>
                <w:color w:val="auto"/>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117" w:hRule="atLeast"/>
        </w:trPr>
        <w:tc>
          <w:tcPr>
            <w:tcW w:w="8631" w:type="dxa"/>
            <w:gridSpan w:val="5"/>
            <w:vAlign w:val="center"/>
          </w:tcPr>
          <w:p>
            <w:pPr>
              <w:pStyle w:val="26"/>
              <w:framePr w:hSpace="0" w:wrap="auto" w:vAnchor="margin" w:hAnchor="text" w:xAlign="left" w:yAlign="inline"/>
              <w:spacing w:line="240" w:lineRule="auto"/>
              <w:jc w:val="both"/>
              <w:rPr>
                <w:b/>
                <w:color w:val="auto"/>
                <w:u w:val="single"/>
              </w:rPr>
            </w:pPr>
          </w:p>
          <w:p>
            <w:pPr>
              <w:pStyle w:val="26"/>
              <w:framePr w:hSpace="0" w:wrap="auto" w:vAnchor="margin" w:hAnchor="text" w:xAlign="left" w:yAlign="inline"/>
              <w:spacing w:line="240" w:lineRule="auto"/>
              <w:jc w:val="both"/>
              <w:rPr>
                <w:b/>
                <w:color w:val="auto"/>
                <w:u w:val="single"/>
              </w:rPr>
            </w:pPr>
            <w:r>
              <w:rPr>
                <w:rFonts w:hint="eastAsia"/>
                <w:b/>
                <w:color w:val="auto"/>
                <w:u w:val="single"/>
              </w:rPr>
              <w:t>生态影响：</w:t>
            </w:r>
            <w:r>
              <w:rPr>
                <w:b/>
                <w:color w:val="auto"/>
                <w:u w:val="single"/>
              </w:rPr>
              <w:t>本工程租用现有厂房进行生产，土地性质为工业用地，符合用地规划。厂址所在地周边无需要特殊保护的生态保护区，项目建设不会改变土地原有功能，区域生态环境受到影响很小。</w:t>
            </w:r>
          </w:p>
        </w:tc>
      </w:tr>
    </w:tbl>
    <w:tbl>
      <w:tblPr>
        <w:tblStyle w:val="20"/>
        <w:tblW w:w="894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30" w:hRule="atLeast"/>
        </w:trPr>
        <w:tc>
          <w:tcPr>
            <w:tcW w:w="8946" w:type="dxa"/>
            <w:tcBorders>
              <w:top w:val="single" w:color="auto" w:sz="12" w:space="0"/>
              <w:bottom w:val="single" w:color="auto" w:sz="12" w:space="0"/>
            </w:tcBorders>
          </w:tcPr>
          <w:p>
            <w:pPr>
              <w:ind w:firstLine="0" w:firstLineChars="0"/>
              <w:jc w:val="both"/>
              <w:rPr>
                <w:b/>
              </w:rPr>
            </w:pPr>
            <w:r>
              <w:rPr>
                <w:b/>
              </w:rPr>
              <w:t>1</w:t>
            </w:r>
            <w:r>
              <w:rPr>
                <w:rFonts w:hint="eastAsia"/>
                <w:b/>
              </w:rPr>
              <w:t>、结论</w:t>
            </w:r>
          </w:p>
          <w:p>
            <w:pPr>
              <w:ind w:firstLine="0" w:firstLineChars="0"/>
              <w:rPr>
                <w:b/>
              </w:rPr>
            </w:pPr>
            <w:r>
              <w:rPr>
                <w:b/>
              </w:rPr>
              <w:t>1.1</w:t>
            </w:r>
            <w:r>
              <w:rPr>
                <w:rFonts w:hint="eastAsia"/>
                <w:b/>
              </w:rPr>
              <w:t>政策相符性</w:t>
            </w:r>
          </w:p>
          <w:p>
            <w:pPr>
              <w:pStyle w:val="9"/>
              <w:ind w:firstLine="480"/>
              <w:rPr>
                <w:szCs w:val="24"/>
              </w:rPr>
            </w:pPr>
            <w:r>
              <w:rPr>
                <w:rFonts w:hint="eastAsia"/>
                <w:szCs w:val="24"/>
              </w:rPr>
              <w:t>本项目为</w:t>
            </w:r>
            <w:r>
              <w:rPr>
                <w:szCs w:val="24"/>
              </w:rPr>
              <w:t>年产10万平方米建筑装饰用铝单板项目</w:t>
            </w:r>
            <w:r>
              <w:rPr>
                <w:rFonts w:hint="eastAsia"/>
                <w:szCs w:val="24"/>
              </w:rPr>
              <w:t>，</w:t>
            </w:r>
            <w:r>
              <w:rPr>
                <w:szCs w:val="24"/>
              </w:rPr>
              <w:t>已在</w:t>
            </w:r>
            <w:r>
              <w:rPr>
                <w:rFonts w:hint="eastAsia"/>
                <w:szCs w:val="24"/>
              </w:rPr>
              <w:t>封丘县发展和改革委员会备案</w:t>
            </w:r>
            <w:r>
              <w:rPr>
                <w:rStyle w:val="24"/>
                <w:sz w:val="24"/>
                <w:szCs w:val="24"/>
              </w:rPr>
              <w:t>，备案编号：</w:t>
            </w:r>
            <w:r>
              <w:rPr>
                <w:szCs w:val="24"/>
              </w:rPr>
              <w:t>2020-410727-50-03-000675，</w:t>
            </w:r>
            <w:r>
              <w:rPr>
                <w:rFonts w:hint="eastAsia"/>
                <w:szCs w:val="24"/>
              </w:rPr>
              <w:t>根据国家发展和改革委员会</w:t>
            </w:r>
            <w:r>
              <w:rPr>
                <w:szCs w:val="24"/>
              </w:rPr>
              <w:t>2011</w:t>
            </w:r>
            <w:r>
              <w:rPr>
                <w:rFonts w:hint="eastAsia"/>
                <w:szCs w:val="24"/>
              </w:rPr>
              <w:t>第</w:t>
            </w:r>
            <w:r>
              <w:rPr>
                <w:szCs w:val="24"/>
              </w:rPr>
              <w:t>21</w:t>
            </w:r>
            <w:r>
              <w:rPr>
                <w:rFonts w:hint="eastAsia"/>
                <w:szCs w:val="24"/>
              </w:rPr>
              <w:t>号令《产业结构调整指导目录（</w:t>
            </w:r>
            <w:r>
              <w:rPr>
                <w:szCs w:val="24"/>
              </w:rPr>
              <w:t>2013</w:t>
            </w:r>
            <w:r>
              <w:rPr>
                <w:rFonts w:hint="eastAsia"/>
                <w:szCs w:val="24"/>
              </w:rPr>
              <w:t>年修正）》相关内容：本项目设备及规模均不在鼓励类、限制类和淘汰类的范畴，故属于允许类；符合国家现行相关产业政策。</w:t>
            </w:r>
          </w:p>
          <w:p>
            <w:pPr>
              <w:ind w:firstLine="0" w:firstLineChars="0"/>
              <w:rPr>
                <w:b/>
              </w:rPr>
            </w:pPr>
            <w:r>
              <w:rPr>
                <w:b/>
              </w:rPr>
              <w:t>1.2</w:t>
            </w:r>
            <w:r>
              <w:rPr>
                <w:rFonts w:hint="eastAsia"/>
                <w:b/>
              </w:rPr>
              <w:t>厂址可行性</w:t>
            </w:r>
          </w:p>
          <w:p>
            <w:pPr>
              <w:ind w:firstLine="480"/>
              <w:rPr>
                <w:highlight w:val="yellow"/>
              </w:rPr>
            </w:pPr>
            <w:r>
              <w:t>本项目租用河南省新乡市封丘县留光镇农民创业园04号</w:t>
            </w:r>
            <w:r>
              <w:rPr>
                <w:rFonts w:hint="eastAsia"/>
              </w:rPr>
              <w:t>，</w:t>
            </w:r>
            <w:r>
              <w:t>据现场调查，本项目租用河南省新乡市封丘县留光镇农民创业园04号</w:t>
            </w:r>
            <w:r>
              <w:rPr>
                <w:rFonts w:hint="eastAsia"/>
              </w:rPr>
              <w:t>，</w:t>
            </w:r>
            <w:r>
              <w:t>据现场调查，</w:t>
            </w:r>
            <w:r>
              <w:rPr>
                <w:rFonts w:hint="eastAsia"/>
              </w:rPr>
              <w:t>项目北侧为北侧为空地，项目东侧为标准化厂房，项目南侧为园区道路，西南</w:t>
            </w:r>
            <w:r>
              <w:t>60m</w:t>
            </w:r>
            <w:r>
              <w:rPr>
                <w:rFonts w:hint="eastAsia"/>
              </w:rPr>
              <w:t>为河南相思电子有限公司，项目西侧7</w:t>
            </w:r>
            <w:r>
              <w:t>00m为省道</w:t>
            </w:r>
            <w:r>
              <w:rPr>
                <w:rFonts w:hint="eastAsia"/>
              </w:rPr>
              <w:t>2</w:t>
            </w:r>
            <w:r>
              <w:t>13，东北</w:t>
            </w:r>
            <w:r>
              <w:rPr>
                <w:rFonts w:hint="eastAsia"/>
              </w:rPr>
              <w:t>7</w:t>
            </w:r>
            <w:r>
              <w:t>00m为马村。</w:t>
            </w:r>
          </w:p>
          <w:p>
            <w:pPr>
              <w:ind w:firstLine="480"/>
            </w:pPr>
            <w:r>
              <w:t>本项目四周已入驻的企业无与本项目不相容的企业。</w:t>
            </w:r>
            <w:r>
              <w:rPr>
                <w:rFonts w:hint="eastAsia"/>
              </w:rPr>
              <w:t>项目厂址符合用地规划</w:t>
            </w:r>
            <w:r>
              <w:t>。</w:t>
            </w:r>
            <w:r>
              <w:rPr>
                <w:rFonts w:hint="eastAsia"/>
              </w:rPr>
              <w:t>根据环境影响分析可知，经采取有效的污染防治措施后，项目各污染源污染物均能达标排放，对周边环境的影响不大。因此，本项目厂址可行。</w:t>
            </w:r>
          </w:p>
          <w:p>
            <w:pPr>
              <w:ind w:firstLine="0" w:firstLineChars="0"/>
              <w:jc w:val="both"/>
              <w:rPr>
                <w:b/>
              </w:rPr>
            </w:pPr>
            <w:r>
              <w:rPr>
                <w:b/>
              </w:rPr>
              <w:t>1.3</w:t>
            </w:r>
            <w:r>
              <w:rPr>
                <w:rFonts w:hint="eastAsia"/>
                <w:b/>
              </w:rPr>
              <w:t>环境影响分析</w:t>
            </w:r>
          </w:p>
          <w:p>
            <w:pPr>
              <w:ind w:firstLine="482"/>
              <w:jc w:val="both"/>
              <w:rPr>
                <w:b/>
                <w:u w:val="single"/>
              </w:rPr>
            </w:pPr>
            <w:r>
              <w:rPr>
                <w:rFonts w:hint="eastAsia"/>
                <w:b/>
                <w:u w:val="single"/>
              </w:rPr>
              <w:t>（1）废气：</w:t>
            </w:r>
            <w:r>
              <w:rPr>
                <w:b/>
                <w:u w:val="single"/>
              </w:rPr>
              <w:t>本项目的废气来源主要</w:t>
            </w:r>
            <w:r>
              <w:rPr>
                <w:rFonts w:hint="eastAsia"/>
                <w:b/>
                <w:u w:val="single"/>
              </w:rPr>
              <w:t>为切割工序产生的粉尘、打磨工序产生的粉尘和焊接工序产生的烟尘。</w:t>
            </w:r>
          </w:p>
          <w:p>
            <w:pPr>
              <w:ind w:firstLine="482"/>
              <w:rPr>
                <w:b/>
                <w:u w:val="single"/>
              </w:rPr>
            </w:pPr>
            <w:r>
              <w:rPr>
                <w:b/>
                <w:u w:val="single"/>
              </w:rPr>
              <w:t>评价</w:t>
            </w:r>
            <w:r>
              <w:rPr>
                <w:rFonts w:hint="eastAsia"/>
                <w:b/>
                <w:u w:val="single"/>
              </w:rPr>
              <w:t>建议项目切割、打磨、焊接工序均设置固定工位，并在工作区上方</w:t>
            </w:r>
            <w:r>
              <w:rPr>
                <w:b/>
                <w:u w:val="single"/>
              </w:rPr>
              <w:t>安装集气罩，</w:t>
            </w:r>
            <w:r>
              <w:rPr>
                <w:rFonts w:hint="eastAsia"/>
                <w:b/>
                <w:u w:val="single"/>
              </w:rPr>
              <w:t>项目切割粉尘经集气罩收集后进入1套袋式除尘器（新建）处理后经15m排气筒排放，项目焊接烟尘经集气罩收集后进入1套袋式除尘器（新建）处理后经15m排气筒排放，项目打磨粉尘经集气罩收集后进入1套袋式除尘器（新建）处理后经15m排气筒排放。有组织排放的颗粒物预计满足《大气污染物综合排放标准》（GB16297-1996）表2二级标准要求（颗粒物排放浓度≤120 mg/m</w:t>
            </w:r>
            <w:r>
              <w:rPr>
                <w:rFonts w:hint="eastAsia"/>
                <w:b/>
                <w:u w:val="single"/>
                <w:vertAlign w:val="superscript"/>
              </w:rPr>
              <w:t>3</w:t>
            </w:r>
            <w:r>
              <w:rPr>
                <w:rFonts w:hint="eastAsia"/>
                <w:b/>
                <w:u w:val="single"/>
              </w:rPr>
              <w:t>，排放速率≤3.5kg/h（15m排气筒））。</w:t>
            </w:r>
          </w:p>
          <w:p>
            <w:pPr>
              <w:ind w:firstLine="482"/>
            </w:pPr>
            <w:r>
              <w:rPr>
                <w:rFonts w:hint="eastAsia"/>
                <w:b/>
                <w:bCs/>
              </w:rPr>
              <w:t>（2）废水：</w:t>
            </w:r>
            <w:r>
              <w:t>本项目产生的污水</w:t>
            </w:r>
            <w:r>
              <w:rPr>
                <w:rFonts w:hint="eastAsia"/>
              </w:rPr>
              <w:t>为</w:t>
            </w:r>
            <w:r>
              <w:t>生活污水</w:t>
            </w:r>
            <w:r>
              <w:rPr>
                <w:rFonts w:hint="eastAsia"/>
              </w:rPr>
              <w:t>。生活污水经</w:t>
            </w:r>
            <w:r>
              <w:t>化粪池</w:t>
            </w:r>
            <w:r>
              <w:rPr>
                <w:rFonts w:hint="eastAsia"/>
              </w:rPr>
              <w:t>处理后定期清运，不外排</w:t>
            </w:r>
            <w:r>
              <w:t>。因此，本项目废水对周围环境影响较小。</w:t>
            </w:r>
          </w:p>
          <w:p>
            <w:pPr>
              <w:ind w:firstLine="482"/>
            </w:pPr>
            <w:r>
              <w:rPr>
                <w:rFonts w:hint="eastAsia"/>
                <w:b/>
              </w:rPr>
              <w:t>（</w:t>
            </w:r>
            <w:r>
              <w:rPr>
                <w:b/>
              </w:rPr>
              <w:t>3</w:t>
            </w:r>
            <w:r>
              <w:rPr>
                <w:rFonts w:hint="eastAsia"/>
                <w:b/>
              </w:rPr>
              <w:t>）噪声：</w:t>
            </w:r>
            <w:r>
              <w:t>本项目噪声经厂房隔声、基础减震和距离衰减等措施后，均可满足《工业企业厂界环境噪声排放标准》（GB12348－2008）2类标准要求，且夜间不生产，因此对厂区周围声环境影响较小。</w:t>
            </w:r>
          </w:p>
          <w:p>
            <w:pPr>
              <w:ind w:firstLine="482"/>
              <w:jc w:val="both"/>
              <w:rPr>
                <w:b/>
                <w:u w:val="single"/>
                <w:lang w:bidi="ar"/>
              </w:rPr>
            </w:pPr>
            <w:r>
              <w:rPr>
                <w:rFonts w:hint="eastAsia"/>
                <w:b/>
                <w:u w:val="single"/>
              </w:rPr>
              <w:t>（</w:t>
            </w:r>
            <w:r>
              <w:rPr>
                <w:b/>
                <w:u w:val="single"/>
              </w:rPr>
              <w:t>4</w:t>
            </w:r>
            <w:r>
              <w:rPr>
                <w:rFonts w:hint="eastAsia"/>
                <w:b/>
                <w:u w:val="single"/>
              </w:rPr>
              <w:t>）</w:t>
            </w:r>
            <w:r>
              <w:rPr>
                <w:b/>
                <w:bCs/>
                <w:u w:val="single"/>
              </w:rPr>
              <w:t>固废：</w:t>
            </w:r>
            <w:r>
              <w:rPr>
                <w:rFonts w:hint="eastAsia"/>
                <w:b/>
                <w:u w:val="single"/>
                <w:lang w:bidi="ar"/>
              </w:rPr>
              <w:t>本项目产生的固体废物</w:t>
            </w:r>
            <w:r>
              <w:rPr>
                <w:b/>
                <w:u w:val="single"/>
                <w:lang w:bidi="ar"/>
              </w:rPr>
              <w:t>包括一般工业固体废物、危险废物和生活垃圾。一般工业固体废物为</w:t>
            </w:r>
            <w:r>
              <w:rPr>
                <w:rFonts w:hint="eastAsia"/>
                <w:b/>
                <w:u w:val="single"/>
                <w:lang w:bidi="ar"/>
              </w:rPr>
              <w:t>废边角料、废金属屑和废焊渣，集中收集后暂存于一般固废暂存区，定期外售</w:t>
            </w:r>
            <w:r>
              <w:rPr>
                <w:b/>
                <w:u w:val="single"/>
                <w:lang w:bidi="ar"/>
              </w:rPr>
              <w:t>；危险废物为</w:t>
            </w:r>
            <w:r>
              <w:rPr>
                <w:rFonts w:hint="eastAsia"/>
                <w:b/>
                <w:u w:val="single"/>
                <w:lang w:bidi="ar"/>
              </w:rPr>
              <w:t>废液压油和废切削液</w:t>
            </w:r>
            <w:r>
              <w:rPr>
                <w:b/>
                <w:u w:val="single"/>
                <w:lang w:bidi="ar"/>
              </w:rPr>
              <w:t>，在危废暂存间暂存后交由有资质单位安全处理处置；生活垃圾收集后定期由环卫部门清运。</w:t>
            </w:r>
          </w:p>
          <w:p>
            <w:pPr>
              <w:ind w:firstLine="482"/>
              <w:jc w:val="both"/>
              <w:rPr>
                <w:b/>
                <w:u w:val="single"/>
                <w:lang w:bidi="ar"/>
              </w:rPr>
            </w:pPr>
            <w:r>
              <w:rPr>
                <w:rFonts w:hint="eastAsia"/>
                <w:b/>
                <w:u w:val="single"/>
              </w:rPr>
              <w:t>（5）总量</w:t>
            </w:r>
            <w:r>
              <w:rPr>
                <w:rFonts w:hint="eastAsia"/>
                <w:b/>
                <w:u w:val="single"/>
                <w:lang w:bidi="ar"/>
              </w:rPr>
              <w:t>：本项目产生的废气为粉尘，不涉及</w:t>
            </w:r>
            <w:r>
              <w:rPr>
                <w:b/>
                <w:u w:val="single"/>
                <w:lang w:bidi="ar"/>
              </w:rPr>
              <w:t>SO</w:t>
            </w:r>
            <w:r>
              <w:rPr>
                <w:b/>
                <w:u w:val="single"/>
                <w:vertAlign w:val="subscript"/>
                <w:lang w:bidi="ar"/>
              </w:rPr>
              <w:t>2</w:t>
            </w:r>
            <w:r>
              <w:rPr>
                <w:rFonts w:hint="eastAsia"/>
                <w:b/>
                <w:u w:val="single"/>
                <w:lang w:bidi="ar"/>
              </w:rPr>
              <w:t>和</w:t>
            </w:r>
            <w:r>
              <w:rPr>
                <w:b/>
                <w:u w:val="single"/>
                <w:lang w:bidi="ar"/>
              </w:rPr>
              <w:t>NO</w:t>
            </w:r>
            <w:r>
              <w:rPr>
                <w:b/>
                <w:u w:val="single"/>
                <w:vertAlign w:val="subscript"/>
                <w:lang w:bidi="ar"/>
              </w:rPr>
              <w:t>X</w:t>
            </w:r>
            <w:r>
              <w:rPr>
                <w:rFonts w:hint="eastAsia"/>
                <w:b/>
                <w:u w:val="single"/>
                <w:lang w:bidi="ar"/>
              </w:rPr>
              <w:t>，粉尘产生量为0</w:t>
            </w:r>
            <w:r>
              <w:rPr>
                <w:b/>
                <w:u w:val="single"/>
                <w:lang w:bidi="ar"/>
              </w:rPr>
              <w:t>.05526t/a</w:t>
            </w:r>
            <w:r>
              <w:rPr>
                <w:rFonts w:hint="eastAsia"/>
                <w:b/>
                <w:u w:val="single"/>
                <w:lang w:bidi="ar"/>
              </w:rPr>
              <w:t>。</w:t>
            </w:r>
            <w:r>
              <w:rPr>
                <w:b/>
                <w:u w:val="single"/>
                <w:lang w:bidi="ar"/>
              </w:rPr>
              <w:t>本项目生活污水产生量为576m</w:t>
            </w:r>
            <w:r>
              <w:rPr>
                <w:b/>
                <w:u w:val="single"/>
                <w:vertAlign w:val="superscript"/>
                <w:lang w:bidi="ar"/>
              </w:rPr>
              <w:t>3</w:t>
            </w:r>
            <w:r>
              <w:rPr>
                <w:b/>
                <w:u w:val="single"/>
                <w:lang w:bidi="ar"/>
              </w:rPr>
              <w:t>/a，化粪池处理后</w:t>
            </w:r>
            <w:r>
              <w:rPr>
                <w:rFonts w:hint="eastAsia"/>
                <w:b/>
                <w:u w:val="single"/>
                <w:lang w:bidi="ar"/>
              </w:rPr>
              <w:t>由附近村民拉走肥田，综合利用不外排。因此本项目总量控制指标为：颗粒物：0</w:t>
            </w:r>
            <w:r>
              <w:rPr>
                <w:b/>
                <w:u w:val="single"/>
                <w:lang w:bidi="ar"/>
              </w:rPr>
              <w:t>.05526t/a</w:t>
            </w:r>
            <w:r>
              <w:rPr>
                <w:rFonts w:hint="eastAsia"/>
                <w:b/>
                <w:u w:val="single"/>
                <w:lang w:bidi="ar"/>
              </w:rPr>
              <w:t>。</w:t>
            </w:r>
          </w:p>
          <w:p>
            <w:pPr>
              <w:ind w:firstLine="0" w:firstLineChars="0"/>
              <w:rPr>
                <w:b/>
                <w:szCs w:val="30"/>
              </w:rPr>
            </w:pPr>
            <w:r>
              <w:rPr>
                <w:b/>
                <w:szCs w:val="30"/>
              </w:rPr>
              <w:t>1.4</w:t>
            </w:r>
            <w:r>
              <w:rPr>
                <w:rFonts w:hint="eastAsia"/>
                <w:b/>
                <w:szCs w:val="30"/>
              </w:rPr>
              <w:t>环保投资</w:t>
            </w:r>
          </w:p>
          <w:p>
            <w:pPr>
              <w:ind w:firstLine="482"/>
              <w:rPr>
                <w:b/>
                <w:u w:val="single"/>
              </w:rPr>
            </w:pPr>
            <w:r>
              <w:rPr>
                <w:rFonts w:hint="eastAsia"/>
                <w:b/>
                <w:u w:val="single"/>
              </w:rPr>
              <w:t>本项目环保投资</w:t>
            </w:r>
            <w:r>
              <w:rPr>
                <w:b/>
                <w:u w:val="single"/>
              </w:rPr>
              <w:t>15.1万</w:t>
            </w:r>
            <w:r>
              <w:rPr>
                <w:rFonts w:hint="eastAsia"/>
                <w:b/>
                <w:u w:val="single"/>
              </w:rPr>
              <w:t>元，占总投资的</w:t>
            </w:r>
            <w:r>
              <w:rPr>
                <w:b/>
                <w:u w:val="single"/>
              </w:rPr>
              <w:t>5.03%</w:t>
            </w:r>
            <w:r>
              <w:rPr>
                <w:rFonts w:hint="eastAsia"/>
                <w:b/>
                <w:u w:val="single"/>
              </w:rPr>
              <w:t>，各项污染防治措施成熟、有效、可行。</w:t>
            </w:r>
          </w:p>
          <w:p>
            <w:pPr>
              <w:ind w:firstLine="0" w:firstLineChars="0"/>
              <w:rPr>
                <w:b/>
                <w:szCs w:val="30"/>
              </w:rPr>
            </w:pPr>
            <w:r>
              <w:rPr>
                <w:b/>
                <w:szCs w:val="30"/>
              </w:rPr>
              <w:t>2.</w:t>
            </w:r>
            <w:r>
              <w:rPr>
                <w:rFonts w:hint="eastAsia"/>
                <w:b/>
                <w:szCs w:val="30"/>
              </w:rPr>
              <w:t>建议</w:t>
            </w:r>
          </w:p>
          <w:p>
            <w:pPr>
              <w:ind w:firstLine="480"/>
            </w:pPr>
            <w:r>
              <w:rPr>
                <w:rFonts w:hint="eastAsia"/>
              </w:rPr>
              <w:t>（</w:t>
            </w:r>
            <w:r>
              <w:t>1</w:t>
            </w:r>
            <w:r>
              <w:rPr>
                <w:rFonts w:hint="eastAsia"/>
              </w:rPr>
              <w:t>）严格执行环保</w:t>
            </w:r>
            <w:r>
              <w:t>“</w:t>
            </w:r>
            <w:r>
              <w:rPr>
                <w:rFonts w:hint="eastAsia"/>
              </w:rPr>
              <w:t>三同时</w:t>
            </w:r>
            <w:r>
              <w:t>”</w:t>
            </w:r>
            <w:r>
              <w:rPr>
                <w:rFonts w:hint="eastAsia"/>
              </w:rPr>
              <w:t>制度，项目建设过程中主体工程、环保设施应同时设计、同时施工、同时投产运行，确保环评及其批复的各项污染防治措施有效落实。</w:t>
            </w:r>
          </w:p>
          <w:p>
            <w:pPr>
              <w:ind w:firstLine="480"/>
            </w:pPr>
            <w:r>
              <w:rPr>
                <w:rFonts w:hint="eastAsia"/>
              </w:rPr>
              <w:t>（</w:t>
            </w:r>
            <w:r>
              <w:t>2</w:t>
            </w:r>
            <w:r>
              <w:rPr>
                <w:rFonts w:hint="eastAsia"/>
              </w:rPr>
              <w:t>）加强营运期项目的制度管理，严格操作规程，定期对设备进行检修，建立环保设施的运行及维护台账，确保其稳定正常的运行，尽量减轻对环境的影响。</w:t>
            </w:r>
          </w:p>
          <w:p>
            <w:pPr>
              <w:ind w:firstLine="480"/>
            </w:pPr>
            <w:r>
              <w:rPr>
                <w:rFonts w:hint="eastAsia"/>
              </w:rPr>
              <w:t>（</w:t>
            </w:r>
            <w:r>
              <w:t>4</w:t>
            </w:r>
            <w:r>
              <w:rPr>
                <w:rFonts w:hint="eastAsia"/>
              </w:rPr>
              <w:t>）项目建成后应及时申请自主验收，并向社会公开，待验收合格后方可正式投入运营。</w:t>
            </w:r>
          </w:p>
          <w:p>
            <w:pPr>
              <w:ind w:firstLine="482"/>
              <w:rPr>
                <w:b/>
                <w:highlight w:val="yellow"/>
              </w:rPr>
            </w:pPr>
          </w:p>
          <w:p>
            <w:pPr>
              <w:ind w:firstLine="482"/>
              <w:rPr>
                <w:b/>
                <w:highlight w:val="yellow"/>
              </w:rPr>
            </w:pPr>
            <w:r>
              <w:rPr>
                <w:rFonts w:hint="eastAsia"/>
                <w:b/>
              </w:rPr>
              <w:t>综上所述，</w:t>
            </w:r>
            <w:r>
              <w:rPr>
                <w:b/>
              </w:rPr>
              <w:t>年产10万平方米建筑装饰用铝单板项目</w:t>
            </w:r>
            <w:r>
              <w:rPr>
                <w:rFonts w:hint="eastAsia"/>
                <w:b/>
              </w:rPr>
              <w:t>符合目前国家产业政策，厂址位置可行。项目营运期污染防治措施有效、可行，污染物排放得到有效控制，对周围环境的污染影响不大。因此，在保证污染防治措施有效实施的基础上，并采纳上述建议后，从环境保护的角度分析，评价认为该项目的建设可行。</w:t>
            </w:r>
          </w:p>
        </w:tc>
      </w:tr>
    </w:tbl>
    <w:p>
      <w:pPr>
        <w:ind w:firstLine="198" w:firstLineChars="66"/>
        <w:rPr>
          <w:b/>
          <w:sz w:val="30"/>
          <w:szCs w:val="30"/>
          <w:highlight w:val="yellow"/>
        </w:rPr>
        <w:sectPr>
          <w:pgSz w:w="11906" w:h="16838"/>
          <w:pgMar w:top="1701" w:right="1588" w:bottom="1985" w:left="1588" w:header="851" w:footer="1134" w:gutter="0"/>
          <w:cols w:space="720" w:num="1"/>
          <w:docGrid w:type="linesAndChars" w:linePitch="312" w:charSpace="0"/>
        </w:sectPr>
      </w:pPr>
    </w:p>
    <w:tbl>
      <w:tblPr>
        <w:tblStyle w:val="20"/>
        <w:tblW w:w="8789" w:type="dxa"/>
        <w:tblInd w:w="817"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8789" w:type="dxa"/>
            <w:tcBorders>
              <w:top w:val="single" w:color="auto" w:sz="12" w:space="0"/>
              <w:bottom w:val="single" w:color="auto" w:sz="12" w:space="0"/>
            </w:tcBorders>
          </w:tcPr>
          <w:p>
            <w:pPr>
              <w:ind w:firstLine="0" w:firstLineChars="0"/>
              <w:jc w:val="center"/>
              <w:rPr>
                <w:b/>
                <w:bCs/>
                <w:sz w:val="32"/>
                <w:szCs w:val="32"/>
              </w:rPr>
            </w:pPr>
          </w:p>
          <w:p>
            <w:pPr>
              <w:ind w:firstLine="0" w:firstLineChars="0"/>
              <w:jc w:val="center"/>
              <w:rPr>
                <w:b/>
                <w:bCs/>
                <w:sz w:val="32"/>
                <w:szCs w:val="32"/>
              </w:rPr>
            </w:pPr>
            <w:r>
              <w:rPr>
                <w:rFonts w:hint="eastAsia"/>
                <w:b/>
                <w:bCs/>
                <w:sz w:val="32"/>
                <w:szCs w:val="32"/>
              </w:rPr>
              <w:t>注释</w:t>
            </w:r>
          </w:p>
          <w:p>
            <w:pPr>
              <w:ind w:firstLine="480"/>
              <w:jc w:val="both"/>
            </w:pPr>
          </w:p>
          <w:p>
            <w:pPr>
              <w:ind w:firstLine="480"/>
              <w:jc w:val="both"/>
            </w:pPr>
            <w:r>
              <w:rPr>
                <w:rFonts w:hint="eastAsia"/>
              </w:rPr>
              <w:t>一、本报告表附以下附图、附件：</w:t>
            </w:r>
          </w:p>
          <w:p>
            <w:pPr>
              <w:ind w:firstLine="480"/>
              <w:jc w:val="both"/>
            </w:pPr>
            <w:bookmarkStart w:id="0" w:name="_Toc207703555"/>
            <w:r>
              <w:t>附图 1  项目地理位置图</w:t>
            </w:r>
            <w:bookmarkEnd w:id="0"/>
          </w:p>
          <w:p>
            <w:pPr>
              <w:ind w:firstLine="480"/>
              <w:jc w:val="both"/>
            </w:pPr>
            <w:bookmarkStart w:id="1" w:name="_Toc207703556"/>
            <w:r>
              <w:t xml:space="preserve">附图 2  </w:t>
            </w:r>
            <w:bookmarkEnd w:id="1"/>
            <w:r>
              <w:t>项目周围环境示意图</w:t>
            </w:r>
          </w:p>
          <w:p>
            <w:pPr>
              <w:ind w:firstLine="480"/>
              <w:jc w:val="both"/>
            </w:pPr>
            <w:r>
              <w:t>附图 3  项目平面布置图</w:t>
            </w:r>
          </w:p>
          <w:p>
            <w:pPr>
              <w:ind w:firstLine="480"/>
              <w:jc w:val="both"/>
            </w:pPr>
            <w:r>
              <w:t>附图 4  周围现场实景图</w:t>
            </w:r>
          </w:p>
          <w:p>
            <w:pPr>
              <w:ind w:firstLine="480"/>
              <w:jc w:val="both"/>
            </w:pPr>
            <w:bookmarkStart w:id="2" w:name="_Toc207703553"/>
          </w:p>
          <w:p>
            <w:pPr>
              <w:ind w:firstLine="480"/>
              <w:jc w:val="both"/>
            </w:pPr>
            <w:r>
              <w:t>附件1  委托书</w:t>
            </w:r>
          </w:p>
          <w:p>
            <w:pPr>
              <w:ind w:firstLine="480"/>
              <w:jc w:val="both"/>
            </w:pPr>
            <w:r>
              <w:t>附件2  项目备案确认书</w:t>
            </w:r>
          </w:p>
          <w:p>
            <w:pPr>
              <w:ind w:firstLine="480"/>
              <w:jc w:val="both"/>
            </w:pPr>
            <w:r>
              <w:t>附件3  营业执照</w:t>
            </w:r>
          </w:p>
          <w:p>
            <w:pPr>
              <w:ind w:firstLine="480"/>
              <w:jc w:val="both"/>
            </w:pPr>
            <w:r>
              <w:t>附件4  法人代表身份证明</w:t>
            </w:r>
          </w:p>
          <w:p>
            <w:pPr>
              <w:ind w:firstLine="480"/>
              <w:jc w:val="both"/>
            </w:pPr>
            <w:r>
              <w:t xml:space="preserve">附件5  </w:t>
            </w:r>
            <w:bookmarkEnd w:id="2"/>
            <w:r>
              <w:t>土地证</w:t>
            </w:r>
            <w:r>
              <w:rPr>
                <w:rFonts w:hint="eastAsia"/>
              </w:rPr>
              <w:t>明</w:t>
            </w:r>
          </w:p>
          <w:p>
            <w:pPr>
              <w:ind w:firstLine="480"/>
              <w:jc w:val="both"/>
            </w:pPr>
            <w:r>
              <w:rPr>
                <w:rFonts w:hint="eastAsia"/>
              </w:rPr>
              <w:t>附件6</w:t>
            </w:r>
            <w:r>
              <w:t xml:space="preserve">  </w:t>
            </w:r>
            <w:r>
              <w:rPr>
                <w:rFonts w:hint="eastAsia"/>
              </w:rPr>
              <w:t>租赁协议</w:t>
            </w:r>
          </w:p>
          <w:p>
            <w:pPr>
              <w:ind w:left="1200" w:leftChars="200" w:hanging="720" w:hangingChars="300"/>
              <w:jc w:val="both"/>
            </w:pPr>
            <w:r>
              <w:rPr>
                <w:rFonts w:hint="eastAsia"/>
              </w:rPr>
              <w:t>附件7</w:t>
            </w:r>
            <w:r>
              <w:t xml:space="preserve">  </w:t>
            </w:r>
            <w:r>
              <w:rPr>
                <w:rFonts w:hint="eastAsia"/>
              </w:rPr>
              <w:t>检测报告</w:t>
            </w:r>
          </w:p>
          <w:p>
            <w:pPr>
              <w:pStyle w:val="19"/>
              <w:spacing w:line="520" w:lineRule="exact"/>
              <w:ind w:firstLine="480"/>
              <w:rPr>
                <w:sz w:val="24"/>
                <w:szCs w:val="24"/>
              </w:rPr>
            </w:pPr>
          </w:p>
          <w:p>
            <w:pPr>
              <w:pStyle w:val="19"/>
              <w:rPr>
                <w:highlight w:val="yellow"/>
              </w:rPr>
            </w:pPr>
          </w:p>
          <w:p>
            <w:pPr>
              <w:pStyle w:val="19"/>
              <w:rPr>
                <w:highlight w:val="yellow"/>
              </w:rPr>
            </w:pPr>
          </w:p>
          <w:p>
            <w:pPr>
              <w:pStyle w:val="19"/>
              <w:rPr>
                <w:highlight w:val="yellow"/>
              </w:rPr>
            </w:pPr>
          </w:p>
          <w:p>
            <w:pPr>
              <w:pStyle w:val="19"/>
              <w:rPr>
                <w:highlight w:val="yellow"/>
              </w:rPr>
            </w:pPr>
          </w:p>
          <w:p>
            <w:pPr>
              <w:pStyle w:val="19"/>
              <w:ind w:firstLine="0" w:firstLineChars="0"/>
              <w:rPr>
                <w:highlight w:val="yellow"/>
              </w:rPr>
            </w:pPr>
          </w:p>
        </w:tc>
      </w:tr>
    </w:tbl>
    <w:p>
      <w:pPr>
        <w:tabs>
          <w:tab w:val="left" w:pos="420"/>
        </w:tabs>
        <w:spacing w:before="62" w:beforeLines="20" w:after="62" w:afterLines="20" w:line="500" w:lineRule="exact"/>
        <w:ind w:firstLine="0" w:firstLineChars="0"/>
        <w:rPr>
          <w:sz w:val="21"/>
          <w:szCs w:val="20"/>
        </w:rPr>
        <w:sectPr>
          <w:footerReference r:id="rId10" w:type="default"/>
          <w:headerReference r:id="rId9" w:type="even"/>
          <w:pgSz w:w="11906" w:h="16838"/>
          <w:pgMar w:top="1440" w:right="850" w:bottom="1440" w:left="850" w:header="851" w:footer="992" w:gutter="0"/>
          <w:cols w:space="720" w:num="1"/>
          <w:docGrid w:type="lines" w:linePitch="312" w:charSpace="0"/>
        </w:sectPr>
      </w:pPr>
    </w:p>
    <w:p>
      <w:pPr>
        <w:bidi w:val="0"/>
        <w:ind w:left="0" w:leftChars="0" w:firstLine="0" w:firstLineChars="0"/>
        <w:jc w:val="both"/>
        <w:rPr>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pPr>
    <w:r>
      <w:fldChar w:fldCharType="begin"/>
    </w:r>
    <w:r>
      <w:instrText xml:space="preserve"> PAGE   \* MERGEFORMAT </w:instrText>
    </w:r>
    <w:r>
      <w:fldChar w:fldCharType="separate"/>
    </w:r>
    <w:r>
      <w:rPr>
        <w:lang w:val="zh-CN"/>
      </w:rPr>
      <w:t>46</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BEB9E"/>
    <w:multiLevelType w:val="singleLevel"/>
    <w:tmpl w:val="F83BEB9E"/>
    <w:lvl w:ilvl="0" w:tentative="0">
      <w:start w:val="3"/>
      <w:numFmt w:val="upperLetter"/>
      <w:suff w:val="nothing"/>
      <w:lvlText w:val="%1、"/>
      <w:lvlJc w:val="left"/>
    </w:lvl>
  </w:abstractNum>
  <w:abstractNum w:abstractNumId="1">
    <w:nsid w:val="15FB053F"/>
    <w:multiLevelType w:val="multilevel"/>
    <w:tmpl w:val="15FB053F"/>
    <w:lvl w:ilvl="0" w:tentative="0">
      <w:start w:val="1"/>
      <w:numFmt w:val="decimal"/>
      <w:isLgl/>
      <w:suff w:val="space"/>
      <w:lvlText w:val="第%1章"/>
      <w:lvlJc w:val="center"/>
      <w:rPr>
        <w:rFonts w:hint="eastAsia" w:cs="Times New Roman"/>
      </w:rPr>
    </w:lvl>
    <w:lvl w:ilvl="1" w:tentative="0">
      <w:start w:val="1"/>
      <w:numFmt w:val="decimal"/>
      <w:pStyle w:val="3"/>
      <w:isLgl/>
      <w:suff w:val="nothing"/>
      <w:lvlText w:val="%1.%2"/>
      <w:lvlJc w:val="left"/>
      <w:rPr>
        <w:rFonts w:hint="eastAsia" w:cs="Times New Roman"/>
        <w:kern w:val="2"/>
        <w:sz w:val="28"/>
      </w:rPr>
    </w:lvl>
    <w:lvl w:ilvl="2" w:tentative="0">
      <w:start w:val="1"/>
      <w:numFmt w:val="decimal"/>
      <w:isLgl/>
      <w:suff w:val="nothing"/>
      <w:lvlText w:val="%1.%2.%3"/>
      <w:lvlJc w:val="left"/>
      <w:rPr>
        <w:rFonts w:hint="eastAsia" w:cs="Times New Roman"/>
      </w:rPr>
    </w:lvl>
    <w:lvl w:ilvl="3" w:tentative="0">
      <w:start w:val="1"/>
      <w:numFmt w:val="decimal"/>
      <w:isLgl/>
      <w:suff w:val="nothing"/>
      <w:lvlText w:val="%1.%2.%3.%4"/>
      <w:lvlJc w:val="left"/>
      <w:rPr>
        <w:rFonts w:hint="eastAsia" w:cs="Times New Roman"/>
      </w:rPr>
    </w:lvl>
    <w:lvl w:ilvl="4" w:tentative="0">
      <w:start w:val="1"/>
      <w:numFmt w:val="decimal"/>
      <w:lvlText w:val="%1.%2.%3.%4.%5"/>
      <w:lvlJc w:val="left"/>
      <w:pPr>
        <w:tabs>
          <w:tab w:val="left" w:pos="3501"/>
        </w:tabs>
        <w:ind w:left="2551" w:hanging="850"/>
      </w:pPr>
      <w:rPr>
        <w:rFonts w:hint="eastAsia" w:cs="Times New Roman"/>
      </w:rPr>
    </w:lvl>
    <w:lvl w:ilvl="5" w:tentative="0">
      <w:start w:val="1"/>
      <w:numFmt w:val="decimal"/>
      <w:lvlText w:val="%1.%2.%3.%4.%5.%6"/>
      <w:lvlJc w:val="left"/>
      <w:pPr>
        <w:tabs>
          <w:tab w:val="left" w:pos="4286"/>
        </w:tabs>
        <w:ind w:left="3260" w:hanging="1134"/>
      </w:pPr>
      <w:rPr>
        <w:rFonts w:hint="eastAsia" w:cs="Times New Roman"/>
      </w:rPr>
    </w:lvl>
    <w:lvl w:ilvl="6" w:tentative="0">
      <w:start w:val="1"/>
      <w:numFmt w:val="decimal"/>
      <w:lvlText w:val="%1.%2.%3.%4.%5.%6.%7"/>
      <w:lvlJc w:val="left"/>
      <w:pPr>
        <w:tabs>
          <w:tab w:val="left" w:pos="5071"/>
        </w:tabs>
        <w:ind w:left="3827" w:hanging="1276"/>
      </w:pPr>
      <w:rPr>
        <w:rFonts w:hint="eastAsia" w:cs="Times New Roman"/>
      </w:rPr>
    </w:lvl>
    <w:lvl w:ilvl="7" w:tentative="0">
      <w:start w:val="1"/>
      <w:numFmt w:val="decimal"/>
      <w:lvlText w:val="%1.%2.%3.%4.%5.%6.%7.%8"/>
      <w:lvlJc w:val="left"/>
      <w:pPr>
        <w:tabs>
          <w:tab w:val="left" w:pos="5856"/>
        </w:tabs>
        <w:ind w:left="4394" w:hanging="1418"/>
      </w:pPr>
      <w:rPr>
        <w:rFonts w:hint="eastAsia" w:cs="Times New Roman"/>
      </w:rPr>
    </w:lvl>
    <w:lvl w:ilvl="8" w:tentative="0">
      <w:start w:val="1"/>
      <w:numFmt w:val="decimal"/>
      <w:lvlText w:val="%1.%2.%3.%4.%5.%6.%7.%8.%9"/>
      <w:lvlJc w:val="left"/>
      <w:pPr>
        <w:tabs>
          <w:tab w:val="left" w:pos="6282"/>
        </w:tabs>
        <w:ind w:left="5102" w:hanging="1700"/>
      </w:pPr>
      <w:rPr>
        <w:rFonts w:hint="eastAsia" w:cs="Times New Roman"/>
      </w:rPr>
    </w:lvl>
  </w:abstractNum>
  <w:abstractNum w:abstractNumId="2">
    <w:nsid w:val="3B2822A3"/>
    <w:multiLevelType w:val="multilevel"/>
    <w:tmpl w:val="3B2822A3"/>
    <w:lvl w:ilvl="0" w:tentative="0">
      <w:start w:val="1"/>
      <w:numFmt w:val="decimal"/>
      <w:pStyle w:val="29"/>
      <w:lvlText w:val="图%1."/>
      <w:lvlJc w:val="left"/>
      <w:pPr>
        <w:ind w:left="900" w:hanging="420"/>
      </w:pPr>
      <w:rPr>
        <w:rFonts w:hint="default" w:ascii="Times New Roman" w:hAnsi="Times New Roman" w:eastAsia="黑体"/>
        <w:b w:val="0"/>
        <w:i w:val="0"/>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D4D4D4A"/>
    <w:multiLevelType w:val="multilevel"/>
    <w:tmpl w:val="7D4D4D4A"/>
    <w:lvl w:ilvl="0" w:tentative="0">
      <w:start w:val="1"/>
      <w:numFmt w:val="decimal"/>
      <w:pStyle w:val="7"/>
      <w:lvlText w:val="表%1."/>
      <w:lvlJc w:val="left"/>
      <w:pPr>
        <w:ind w:left="420" w:hanging="420"/>
      </w:pPr>
      <w:rPr>
        <w:rFonts w:hint="default" w:ascii="Times New Roman" w:hAnsi="Times New Roman" w:eastAsia="黑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A3DC8"/>
    <w:rsid w:val="00003FB7"/>
    <w:rsid w:val="00011B23"/>
    <w:rsid w:val="00031DFB"/>
    <w:rsid w:val="00041436"/>
    <w:rsid w:val="00055F2F"/>
    <w:rsid w:val="00056A29"/>
    <w:rsid w:val="0006519B"/>
    <w:rsid w:val="00066892"/>
    <w:rsid w:val="000733D3"/>
    <w:rsid w:val="0007413A"/>
    <w:rsid w:val="000774C1"/>
    <w:rsid w:val="00082474"/>
    <w:rsid w:val="00094C1E"/>
    <w:rsid w:val="000A3D1C"/>
    <w:rsid w:val="000B060B"/>
    <w:rsid w:val="000B38DF"/>
    <w:rsid w:val="000C24DA"/>
    <w:rsid w:val="000C5C3A"/>
    <w:rsid w:val="000E21CE"/>
    <w:rsid w:val="000E3E1F"/>
    <w:rsid w:val="000E6817"/>
    <w:rsid w:val="0013302B"/>
    <w:rsid w:val="001428DE"/>
    <w:rsid w:val="00170B48"/>
    <w:rsid w:val="0018284F"/>
    <w:rsid w:val="00195A98"/>
    <w:rsid w:val="001A6545"/>
    <w:rsid w:val="001C2D2B"/>
    <w:rsid w:val="00201CAF"/>
    <w:rsid w:val="00227F5A"/>
    <w:rsid w:val="00241882"/>
    <w:rsid w:val="002662B2"/>
    <w:rsid w:val="00276BDC"/>
    <w:rsid w:val="002804C0"/>
    <w:rsid w:val="00295F17"/>
    <w:rsid w:val="002966D5"/>
    <w:rsid w:val="002A61DE"/>
    <w:rsid w:val="002A64A6"/>
    <w:rsid w:val="002B3678"/>
    <w:rsid w:val="002C6642"/>
    <w:rsid w:val="00303E79"/>
    <w:rsid w:val="00326262"/>
    <w:rsid w:val="00346445"/>
    <w:rsid w:val="003545E2"/>
    <w:rsid w:val="003603A3"/>
    <w:rsid w:val="00364C83"/>
    <w:rsid w:val="003763B6"/>
    <w:rsid w:val="003A3549"/>
    <w:rsid w:val="003A59F8"/>
    <w:rsid w:val="003B35D4"/>
    <w:rsid w:val="003D7BA6"/>
    <w:rsid w:val="003E73B8"/>
    <w:rsid w:val="00402204"/>
    <w:rsid w:val="00404987"/>
    <w:rsid w:val="004162C6"/>
    <w:rsid w:val="004318B3"/>
    <w:rsid w:val="004906D0"/>
    <w:rsid w:val="004C160B"/>
    <w:rsid w:val="004D111D"/>
    <w:rsid w:val="004D6C99"/>
    <w:rsid w:val="004F3A9E"/>
    <w:rsid w:val="00522D22"/>
    <w:rsid w:val="00526C74"/>
    <w:rsid w:val="005569F9"/>
    <w:rsid w:val="00586790"/>
    <w:rsid w:val="005951F4"/>
    <w:rsid w:val="005A5089"/>
    <w:rsid w:val="005B3F07"/>
    <w:rsid w:val="005D74B7"/>
    <w:rsid w:val="005E137B"/>
    <w:rsid w:val="006039FA"/>
    <w:rsid w:val="00613073"/>
    <w:rsid w:val="006465D3"/>
    <w:rsid w:val="00690B90"/>
    <w:rsid w:val="006A2DE6"/>
    <w:rsid w:val="006A589F"/>
    <w:rsid w:val="006B2090"/>
    <w:rsid w:val="006C171A"/>
    <w:rsid w:val="006D3A02"/>
    <w:rsid w:val="006E0388"/>
    <w:rsid w:val="006E156A"/>
    <w:rsid w:val="006F43F5"/>
    <w:rsid w:val="00711898"/>
    <w:rsid w:val="007443EC"/>
    <w:rsid w:val="007459AD"/>
    <w:rsid w:val="00762F61"/>
    <w:rsid w:val="007638CE"/>
    <w:rsid w:val="00771BCB"/>
    <w:rsid w:val="007867DB"/>
    <w:rsid w:val="00790AE7"/>
    <w:rsid w:val="00794E0B"/>
    <w:rsid w:val="007B23AD"/>
    <w:rsid w:val="007B556B"/>
    <w:rsid w:val="007B574B"/>
    <w:rsid w:val="007B6188"/>
    <w:rsid w:val="007C0693"/>
    <w:rsid w:val="007D519C"/>
    <w:rsid w:val="007D6A33"/>
    <w:rsid w:val="00825829"/>
    <w:rsid w:val="00837D2D"/>
    <w:rsid w:val="00856C95"/>
    <w:rsid w:val="00865488"/>
    <w:rsid w:val="008734CF"/>
    <w:rsid w:val="00873F7C"/>
    <w:rsid w:val="0087521B"/>
    <w:rsid w:val="00887628"/>
    <w:rsid w:val="008A396D"/>
    <w:rsid w:val="008D16B5"/>
    <w:rsid w:val="008D3874"/>
    <w:rsid w:val="008F5B81"/>
    <w:rsid w:val="0091698B"/>
    <w:rsid w:val="00920E4A"/>
    <w:rsid w:val="009453CD"/>
    <w:rsid w:val="00950A86"/>
    <w:rsid w:val="00963DB7"/>
    <w:rsid w:val="00992FB2"/>
    <w:rsid w:val="009A0BF7"/>
    <w:rsid w:val="009D15EB"/>
    <w:rsid w:val="009D4C8F"/>
    <w:rsid w:val="009D55D1"/>
    <w:rsid w:val="009E3679"/>
    <w:rsid w:val="00A107DB"/>
    <w:rsid w:val="00A1248C"/>
    <w:rsid w:val="00A1537F"/>
    <w:rsid w:val="00A207E3"/>
    <w:rsid w:val="00A2429C"/>
    <w:rsid w:val="00A91C5B"/>
    <w:rsid w:val="00A96838"/>
    <w:rsid w:val="00AA7882"/>
    <w:rsid w:val="00AB6ACA"/>
    <w:rsid w:val="00AD5F8E"/>
    <w:rsid w:val="00B272FA"/>
    <w:rsid w:val="00B42D4F"/>
    <w:rsid w:val="00B453E3"/>
    <w:rsid w:val="00B458B1"/>
    <w:rsid w:val="00BA3B31"/>
    <w:rsid w:val="00BB1302"/>
    <w:rsid w:val="00BC5FC9"/>
    <w:rsid w:val="00BC709B"/>
    <w:rsid w:val="00BD70ED"/>
    <w:rsid w:val="00BE0CD1"/>
    <w:rsid w:val="00BE0FCC"/>
    <w:rsid w:val="00BF21CB"/>
    <w:rsid w:val="00C12DD8"/>
    <w:rsid w:val="00C13AA7"/>
    <w:rsid w:val="00C456F3"/>
    <w:rsid w:val="00C73909"/>
    <w:rsid w:val="00C746F8"/>
    <w:rsid w:val="00C81FF7"/>
    <w:rsid w:val="00CA40E5"/>
    <w:rsid w:val="00CA436E"/>
    <w:rsid w:val="00CA46A6"/>
    <w:rsid w:val="00CC2374"/>
    <w:rsid w:val="00CD0A8B"/>
    <w:rsid w:val="00CD0D8F"/>
    <w:rsid w:val="00CE0AF1"/>
    <w:rsid w:val="00CE4A64"/>
    <w:rsid w:val="00D1630B"/>
    <w:rsid w:val="00D21F4A"/>
    <w:rsid w:val="00D253A7"/>
    <w:rsid w:val="00D26CD7"/>
    <w:rsid w:val="00D366FE"/>
    <w:rsid w:val="00D5476B"/>
    <w:rsid w:val="00D63F36"/>
    <w:rsid w:val="00D641CE"/>
    <w:rsid w:val="00D74051"/>
    <w:rsid w:val="00D8410E"/>
    <w:rsid w:val="00D85F2D"/>
    <w:rsid w:val="00DA5E04"/>
    <w:rsid w:val="00DC2EDA"/>
    <w:rsid w:val="00DD4312"/>
    <w:rsid w:val="00E04CEB"/>
    <w:rsid w:val="00E04FDD"/>
    <w:rsid w:val="00E2417D"/>
    <w:rsid w:val="00E343F8"/>
    <w:rsid w:val="00E5501A"/>
    <w:rsid w:val="00E57845"/>
    <w:rsid w:val="00E62314"/>
    <w:rsid w:val="00EB465C"/>
    <w:rsid w:val="00EC41AB"/>
    <w:rsid w:val="00EE2056"/>
    <w:rsid w:val="00EF3339"/>
    <w:rsid w:val="00F15254"/>
    <w:rsid w:val="00F20EE7"/>
    <w:rsid w:val="00F22F56"/>
    <w:rsid w:val="00F2519D"/>
    <w:rsid w:val="00F2703E"/>
    <w:rsid w:val="00F73DB3"/>
    <w:rsid w:val="00F77632"/>
    <w:rsid w:val="00F92400"/>
    <w:rsid w:val="00F9502C"/>
    <w:rsid w:val="00FB0AF3"/>
    <w:rsid w:val="00FD4B93"/>
    <w:rsid w:val="00FD4CE7"/>
    <w:rsid w:val="00FD4E40"/>
    <w:rsid w:val="00FD567F"/>
    <w:rsid w:val="00FF0039"/>
    <w:rsid w:val="01825B0E"/>
    <w:rsid w:val="018E19F2"/>
    <w:rsid w:val="022E6302"/>
    <w:rsid w:val="022F5038"/>
    <w:rsid w:val="02966CE0"/>
    <w:rsid w:val="02D55124"/>
    <w:rsid w:val="03B96582"/>
    <w:rsid w:val="04086E2F"/>
    <w:rsid w:val="04560F0D"/>
    <w:rsid w:val="04944388"/>
    <w:rsid w:val="04AE4D4F"/>
    <w:rsid w:val="05042649"/>
    <w:rsid w:val="0517660B"/>
    <w:rsid w:val="05204467"/>
    <w:rsid w:val="05532ED3"/>
    <w:rsid w:val="05A57F2C"/>
    <w:rsid w:val="05DA3DC8"/>
    <w:rsid w:val="06087DFB"/>
    <w:rsid w:val="06B85D0B"/>
    <w:rsid w:val="06D850FD"/>
    <w:rsid w:val="06F616BD"/>
    <w:rsid w:val="074C2583"/>
    <w:rsid w:val="078106DE"/>
    <w:rsid w:val="07910548"/>
    <w:rsid w:val="07923EC1"/>
    <w:rsid w:val="08910D5B"/>
    <w:rsid w:val="09466160"/>
    <w:rsid w:val="09D615E7"/>
    <w:rsid w:val="09F64EE0"/>
    <w:rsid w:val="0A60130C"/>
    <w:rsid w:val="0ABB77A4"/>
    <w:rsid w:val="0AC23923"/>
    <w:rsid w:val="0ACC45A5"/>
    <w:rsid w:val="0AD548E0"/>
    <w:rsid w:val="0B5B3A6C"/>
    <w:rsid w:val="0B647318"/>
    <w:rsid w:val="0BA66EDB"/>
    <w:rsid w:val="0C4403E4"/>
    <w:rsid w:val="0C661F93"/>
    <w:rsid w:val="0CBB2E39"/>
    <w:rsid w:val="0CF32888"/>
    <w:rsid w:val="0D503D2D"/>
    <w:rsid w:val="0DC3257A"/>
    <w:rsid w:val="0DF312A7"/>
    <w:rsid w:val="0DFE5223"/>
    <w:rsid w:val="0EC271C8"/>
    <w:rsid w:val="0EDE1728"/>
    <w:rsid w:val="0EE22474"/>
    <w:rsid w:val="0F075172"/>
    <w:rsid w:val="0F604F46"/>
    <w:rsid w:val="0F641216"/>
    <w:rsid w:val="0FCA1ADA"/>
    <w:rsid w:val="0FF55068"/>
    <w:rsid w:val="10BC6E02"/>
    <w:rsid w:val="11926874"/>
    <w:rsid w:val="11B43C9E"/>
    <w:rsid w:val="11F71356"/>
    <w:rsid w:val="12205FC5"/>
    <w:rsid w:val="12976FDB"/>
    <w:rsid w:val="12E31D3A"/>
    <w:rsid w:val="12ED5906"/>
    <w:rsid w:val="12F60FD0"/>
    <w:rsid w:val="137460FD"/>
    <w:rsid w:val="140E2CDB"/>
    <w:rsid w:val="141E7E6A"/>
    <w:rsid w:val="154A7C27"/>
    <w:rsid w:val="15566351"/>
    <w:rsid w:val="1568364F"/>
    <w:rsid w:val="15AD031E"/>
    <w:rsid w:val="15AD55A1"/>
    <w:rsid w:val="1626274B"/>
    <w:rsid w:val="176C51F0"/>
    <w:rsid w:val="18376046"/>
    <w:rsid w:val="185047BA"/>
    <w:rsid w:val="18AE432A"/>
    <w:rsid w:val="18B513A6"/>
    <w:rsid w:val="18F17ED6"/>
    <w:rsid w:val="194E4AAD"/>
    <w:rsid w:val="196733C1"/>
    <w:rsid w:val="1A730950"/>
    <w:rsid w:val="1A8632D0"/>
    <w:rsid w:val="1AA774FE"/>
    <w:rsid w:val="1AA95582"/>
    <w:rsid w:val="1ABD47A1"/>
    <w:rsid w:val="1B2F276D"/>
    <w:rsid w:val="1B6F47FD"/>
    <w:rsid w:val="1B950496"/>
    <w:rsid w:val="1C1831DF"/>
    <w:rsid w:val="1C9848E5"/>
    <w:rsid w:val="1D0000FE"/>
    <w:rsid w:val="1D060AC1"/>
    <w:rsid w:val="1D272411"/>
    <w:rsid w:val="1D2D6AA1"/>
    <w:rsid w:val="1D480D8E"/>
    <w:rsid w:val="1F473670"/>
    <w:rsid w:val="1F4A3276"/>
    <w:rsid w:val="1F896E14"/>
    <w:rsid w:val="20766221"/>
    <w:rsid w:val="21D16508"/>
    <w:rsid w:val="223A7408"/>
    <w:rsid w:val="2286741A"/>
    <w:rsid w:val="23AE48BA"/>
    <w:rsid w:val="242D2287"/>
    <w:rsid w:val="24404698"/>
    <w:rsid w:val="24A44AB6"/>
    <w:rsid w:val="24E544D3"/>
    <w:rsid w:val="24ED4C2F"/>
    <w:rsid w:val="252A5017"/>
    <w:rsid w:val="26E5651C"/>
    <w:rsid w:val="26EB4CA5"/>
    <w:rsid w:val="2704594F"/>
    <w:rsid w:val="27250A3C"/>
    <w:rsid w:val="272C4FD2"/>
    <w:rsid w:val="27BF1EA5"/>
    <w:rsid w:val="27CA433B"/>
    <w:rsid w:val="27F8146E"/>
    <w:rsid w:val="2820225D"/>
    <w:rsid w:val="28744EFF"/>
    <w:rsid w:val="29214B1A"/>
    <w:rsid w:val="29BC3F3F"/>
    <w:rsid w:val="29D56E50"/>
    <w:rsid w:val="2AF34C9F"/>
    <w:rsid w:val="2B267565"/>
    <w:rsid w:val="2B773F7A"/>
    <w:rsid w:val="2B9040BD"/>
    <w:rsid w:val="2BA06053"/>
    <w:rsid w:val="2BB72CE3"/>
    <w:rsid w:val="2C1955F7"/>
    <w:rsid w:val="2D0C764B"/>
    <w:rsid w:val="2D846EBF"/>
    <w:rsid w:val="2DCB551E"/>
    <w:rsid w:val="2E327777"/>
    <w:rsid w:val="2EC8708D"/>
    <w:rsid w:val="2F330EE2"/>
    <w:rsid w:val="2F7A42A1"/>
    <w:rsid w:val="302C627A"/>
    <w:rsid w:val="30B27636"/>
    <w:rsid w:val="31224A3C"/>
    <w:rsid w:val="31312524"/>
    <w:rsid w:val="31D554FC"/>
    <w:rsid w:val="31EE2130"/>
    <w:rsid w:val="32586983"/>
    <w:rsid w:val="32723CBA"/>
    <w:rsid w:val="328C257E"/>
    <w:rsid w:val="32B464B0"/>
    <w:rsid w:val="32B6422D"/>
    <w:rsid w:val="32F9775E"/>
    <w:rsid w:val="32FB02EC"/>
    <w:rsid w:val="33461016"/>
    <w:rsid w:val="33934A17"/>
    <w:rsid w:val="347E444F"/>
    <w:rsid w:val="34FB5C25"/>
    <w:rsid w:val="354345F2"/>
    <w:rsid w:val="359D5F90"/>
    <w:rsid w:val="35E55FB6"/>
    <w:rsid w:val="3658126C"/>
    <w:rsid w:val="368A3BBD"/>
    <w:rsid w:val="36FA4F01"/>
    <w:rsid w:val="373460F2"/>
    <w:rsid w:val="37590935"/>
    <w:rsid w:val="37704B89"/>
    <w:rsid w:val="37B121D3"/>
    <w:rsid w:val="37BF3522"/>
    <w:rsid w:val="37C35B54"/>
    <w:rsid w:val="37DD5091"/>
    <w:rsid w:val="3822215D"/>
    <w:rsid w:val="388D6C62"/>
    <w:rsid w:val="38A961DB"/>
    <w:rsid w:val="38EC55CC"/>
    <w:rsid w:val="390D4E4B"/>
    <w:rsid w:val="39107C8F"/>
    <w:rsid w:val="39203E44"/>
    <w:rsid w:val="3924611C"/>
    <w:rsid w:val="394371B7"/>
    <w:rsid w:val="3AB7478B"/>
    <w:rsid w:val="3AF15886"/>
    <w:rsid w:val="3B03659B"/>
    <w:rsid w:val="3B293CAC"/>
    <w:rsid w:val="3B3752D1"/>
    <w:rsid w:val="3B5023DD"/>
    <w:rsid w:val="3B6A7978"/>
    <w:rsid w:val="3BA05314"/>
    <w:rsid w:val="3BDB04A4"/>
    <w:rsid w:val="3C8D2219"/>
    <w:rsid w:val="3CA843B4"/>
    <w:rsid w:val="3CE5399E"/>
    <w:rsid w:val="3E0F652A"/>
    <w:rsid w:val="3E3B50E6"/>
    <w:rsid w:val="3E7F6094"/>
    <w:rsid w:val="3E8F1C62"/>
    <w:rsid w:val="3E9C2C73"/>
    <w:rsid w:val="3FA8597C"/>
    <w:rsid w:val="3FEF0B5F"/>
    <w:rsid w:val="40632E2C"/>
    <w:rsid w:val="40A07E3C"/>
    <w:rsid w:val="40D2324C"/>
    <w:rsid w:val="40FF028A"/>
    <w:rsid w:val="41A412F2"/>
    <w:rsid w:val="42272F19"/>
    <w:rsid w:val="42302333"/>
    <w:rsid w:val="430061C9"/>
    <w:rsid w:val="4389134C"/>
    <w:rsid w:val="438E4104"/>
    <w:rsid w:val="43941B19"/>
    <w:rsid w:val="43A358BD"/>
    <w:rsid w:val="44487121"/>
    <w:rsid w:val="445A74C4"/>
    <w:rsid w:val="453B673C"/>
    <w:rsid w:val="45E33F23"/>
    <w:rsid w:val="45ED4A86"/>
    <w:rsid w:val="46B3671F"/>
    <w:rsid w:val="46C87CF0"/>
    <w:rsid w:val="46EA61DD"/>
    <w:rsid w:val="46F50170"/>
    <w:rsid w:val="47115266"/>
    <w:rsid w:val="47682AF1"/>
    <w:rsid w:val="47A3589A"/>
    <w:rsid w:val="48746BE4"/>
    <w:rsid w:val="48CE6225"/>
    <w:rsid w:val="48EB5814"/>
    <w:rsid w:val="495E67FE"/>
    <w:rsid w:val="496B5428"/>
    <w:rsid w:val="498A3752"/>
    <w:rsid w:val="4A49784E"/>
    <w:rsid w:val="4A7546D6"/>
    <w:rsid w:val="4A7B492F"/>
    <w:rsid w:val="4B5A2AD1"/>
    <w:rsid w:val="4C4705EC"/>
    <w:rsid w:val="4C5B42CC"/>
    <w:rsid w:val="4C786E17"/>
    <w:rsid w:val="4CC5729D"/>
    <w:rsid w:val="4CFE3E41"/>
    <w:rsid w:val="4D101543"/>
    <w:rsid w:val="4D78358F"/>
    <w:rsid w:val="4D987A42"/>
    <w:rsid w:val="4E1F1D74"/>
    <w:rsid w:val="4EBD2496"/>
    <w:rsid w:val="4ED23FCF"/>
    <w:rsid w:val="4F0205FA"/>
    <w:rsid w:val="4F0804F5"/>
    <w:rsid w:val="4F727086"/>
    <w:rsid w:val="4FB54B21"/>
    <w:rsid w:val="4FF92D3A"/>
    <w:rsid w:val="5084604A"/>
    <w:rsid w:val="51592754"/>
    <w:rsid w:val="51B671A1"/>
    <w:rsid w:val="51E22FF1"/>
    <w:rsid w:val="51F70A68"/>
    <w:rsid w:val="52530F70"/>
    <w:rsid w:val="527019F1"/>
    <w:rsid w:val="52997FDF"/>
    <w:rsid w:val="52E55419"/>
    <w:rsid w:val="53057F0A"/>
    <w:rsid w:val="53125AC8"/>
    <w:rsid w:val="53C91048"/>
    <w:rsid w:val="53C96F4E"/>
    <w:rsid w:val="54753386"/>
    <w:rsid w:val="548F38AF"/>
    <w:rsid w:val="54E108F8"/>
    <w:rsid w:val="56813AF8"/>
    <w:rsid w:val="5700714B"/>
    <w:rsid w:val="57111F63"/>
    <w:rsid w:val="57572EC0"/>
    <w:rsid w:val="57944AEF"/>
    <w:rsid w:val="579B0FDC"/>
    <w:rsid w:val="580E71DA"/>
    <w:rsid w:val="582C6D02"/>
    <w:rsid w:val="58561010"/>
    <w:rsid w:val="58597AAE"/>
    <w:rsid w:val="586A4F2B"/>
    <w:rsid w:val="58F726DA"/>
    <w:rsid w:val="592663D5"/>
    <w:rsid w:val="59505FAE"/>
    <w:rsid w:val="59B817EB"/>
    <w:rsid w:val="59BE0AFB"/>
    <w:rsid w:val="59DC7AE2"/>
    <w:rsid w:val="59EF1412"/>
    <w:rsid w:val="59FC68FF"/>
    <w:rsid w:val="5A4F3F3E"/>
    <w:rsid w:val="5A9948FF"/>
    <w:rsid w:val="5AAE4320"/>
    <w:rsid w:val="5B1B2986"/>
    <w:rsid w:val="5BCE5B10"/>
    <w:rsid w:val="5C2E2319"/>
    <w:rsid w:val="5C407D63"/>
    <w:rsid w:val="5C5C0DF3"/>
    <w:rsid w:val="5CC01933"/>
    <w:rsid w:val="5CD151B3"/>
    <w:rsid w:val="5D1A2251"/>
    <w:rsid w:val="5D5D505C"/>
    <w:rsid w:val="5DB8083D"/>
    <w:rsid w:val="5DE8185C"/>
    <w:rsid w:val="5DE942F9"/>
    <w:rsid w:val="5DF62233"/>
    <w:rsid w:val="5E8671C5"/>
    <w:rsid w:val="5E9B721B"/>
    <w:rsid w:val="5F257F67"/>
    <w:rsid w:val="5F3D21B2"/>
    <w:rsid w:val="5F9C50D0"/>
    <w:rsid w:val="5FE9704D"/>
    <w:rsid w:val="609908AD"/>
    <w:rsid w:val="60B93FFC"/>
    <w:rsid w:val="610E4695"/>
    <w:rsid w:val="61197309"/>
    <w:rsid w:val="61EB2F88"/>
    <w:rsid w:val="61FB19C6"/>
    <w:rsid w:val="621C4CCA"/>
    <w:rsid w:val="62482DDA"/>
    <w:rsid w:val="62684C24"/>
    <w:rsid w:val="62904D42"/>
    <w:rsid w:val="63432E74"/>
    <w:rsid w:val="63987ADA"/>
    <w:rsid w:val="63BE252A"/>
    <w:rsid w:val="64250284"/>
    <w:rsid w:val="64B167C5"/>
    <w:rsid w:val="65361997"/>
    <w:rsid w:val="65443A51"/>
    <w:rsid w:val="65BF54BA"/>
    <w:rsid w:val="65EB5BA0"/>
    <w:rsid w:val="663E58D9"/>
    <w:rsid w:val="666F67E0"/>
    <w:rsid w:val="669D0C6B"/>
    <w:rsid w:val="670307BF"/>
    <w:rsid w:val="678B776C"/>
    <w:rsid w:val="67C04B02"/>
    <w:rsid w:val="6883236D"/>
    <w:rsid w:val="68C34713"/>
    <w:rsid w:val="68D305C7"/>
    <w:rsid w:val="68E23E44"/>
    <w:rsid w:val="697124C4"/>
    <w:rsid w:val="69D26E9E"/>
    <w:rsid w:val="6A31264E"/>
    <w:rsid w:val="6A6F20AC"/>
    <w:rsid w:val="6AC509B2"/>
    <w:rsid w:val="6B2C0FA1"/>
    <w:rsid w:val="6CD42517"/>
    <w:rsid w:val="6D096BBB"/>
    <w:rsid w:val="6D4452A9"/>
    <w:rsid w:val="6DB403EB"/>
    <w:rsid w:val="6DBF5B08"/>
    <w:rsid w:val="6E2A59F7"/>
    <w:rsid w:val="6E4D4B9B"/>
    <w:rsid w:val="6ECF1CC2"/>
    <w:rsid w:val="6F05116E"/>
    <w:rsid w:val="6FA414E3"/>
    <w:rsid w:val="6FC06E19"/>
    <w:rsid w:val="701A1985"/>
    <w:rsid w:val="70521C47"/>
    <w:rsid w:val="70D32A95"/>
    <w:rsid w:val="70D41279"/>
    <w:rsid w:val="710114DA"/>
    <w:rsid w:val="714B129D"/>
    <w:rsid w:val="719B0F3D"/>
    <w:rsid w:val="71C06F10"/>
    <w:rsid w:val="72DE71D4"/>
    <w:rsid w:val="72FE3C13"/>
    <w:rsid w:val="73235367"/>
    <w:rsid w:val="73DE6AE7"/>
    <w:rsid w:val="73E67B98"/>
    <w:rsid w:val="74140CE0"/>
    <w:rsid w:val="742D33B2"/>
    <w:rsid w:val="744D11E3"/>
    <w:rsid w:val="74D00F8F"/>
    <w:rsid w:val="757456A3"/>
    <w:rsid w:val="757D5B8B"/>
    <w:rsid w:val="75D476A9"/>
    <w:rsid w:val="76E71D2C"/>
    <w:rsid w:val="77153CC9"/>
    <w:rsid w:val="77292CA9"/>
    <w:rsid w:val="781661C3"/>
    <w:rsid w:val="784E1D92"/>
    <w:rsid w:val="79632836"/>
    <w:rsid w:val="79DE42ED"/>
    <w:rsid w:val="79E85A24"/>
    <w:rsid w:val="7A03581A"/>
    <w:rsid w:val="7A432FD4"/>
    <w:rsid w:val="7AA67F57"/>
    <w:rsid w:val="7B5731CE"/>
    <w:rsid w:val="7B70515A"/>
    <w:rsid w:val="7B7C4E75"/>
    <w:rsid w:val="7BB617C9"/>
    <w:rsid w:val="7BC43DD1"/>
    <w:rsid w:val="7BEC5E9F"/>
    <w:rsid w:val="7C154B01"/>
    <w:rsid w:val="7C166856"/>
    <w:rsid w:val="7C354F47"/>
    <w:rsid w:val="7C751DCE"/>
    <w:rsid w:val="7C916D3B"/>
    <w:rsid w:val="7CC2226D"/>
    <w:rsid w:val="7D1D1C7F"/>
    <w:rsid w:val="7D3615F9"/>
    <w:rsid w:val="7D682D95"/>
    <w:rsid w:val="7D7942E5"/>
    <w:rsid w:val="7E03549B"/>
    <w:rsid w:val="7E80177A"/>
    <w:rsid w:val="7E8D133A"/>
    <w:rsid w:val="7ED56795"/>
    <w:rsid w:val="7FCF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240" w:after="240" w:line="360" w:lineRule="auto"/>
      <w:outlineLvl w:val="0"/>
    </w:pPr>
    <w:rPr>
      <w:b/>
      <w:kern w:val="44"/>
      <w:sz w:val="32"/>
    </w:rPr>
  </w:style>
  <w:style w:type="paragraph" w:styleId="3">
    <w:name w:val="heading 2"/>
    <w:basedOn w:val="1"/>
    <w:next w:val="1"/>
    <w:qFormat/>
    <w:uiPriority w:val="99"/>
    <w:pPr>
      <w:keepNext/>
      <w:keepLines/>
      <w:numPr>
        <w:ilvl w:val="1"/>
        <w:numId w:val="1"/>
      </w:numPr>
      <w:spacing w:line="120" w:lineRule="auto"/>
      <w:ind w:firstLine="0" w:firstLineChars="0"/>
      <w:outlineLvl w:val="1"/>
    </w:pPr>
    <w:rPr>
      <w:rFonts w:eastAsia="黑体"/>
      <w:sz w:val="32"/>
      <w:szCs w:val="20"/>
    </w:rPr>
  </w:style>
  <w:style w:type="paragraph" w:styleId="4">
    <w:name w:val="heading 3"/>
    <w:basedOn w:val="1"/>
    <w:next w:val="5"/>
    <w:qFormat/>
    <w:uiPriority w:val="0"/>
    <w:pPr>
      <w:keepNext/>
      <w:keepLines/>
      <w:spacing w:before="260" w:after="260" w:line="416" w:lineRule="auto"/>
      <w:outlineLvl w:val="2"/>
    </w:pPr>
    <w:rPr>
      <w:b/>
      <w:bCs/>
      <w:sz w:val="32"/>
      <w:szCs w:val="32"/>
    </w:rPr>
  </w:style>
  <w:style w:type="paragraph" w:styleId="6">
    <w:name w:val="heading 9"/>
    <w:basedOn w:val="7"/>
    <w:next w:val="1"/>
    <w:qFormat/>
    <w:uiPriority w:val="99"/>
    <w:pPr>
      <w:outlineLvl w:val="8"/>
    </w:p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link w:val="45"/>
    <w:qFormat/>
    <w:uiPriority w:val="0"/>
    <w:rPr>
      <w:sz w:val="28"/>
    </w:rPr>
  </w:style>
  <w:style w:type="paragraph" w:customStyle="1" w:styleId="7">
    <w:name w:val="标题格式"/>
    <w:basedOn w:val="1"/>
    <w:qFormat/>
    <w:uiPriority w:val="0"/>
    <w:pPr>
      <w:numPr>
        <w:ilvl w:val="0"/>
        <w:numId w:val="2"/>
      </w:numPr>
      <w:ind w:firstLine="0" w:firstLineChars="0"/>
      <w:jc w:val="center"/>
    </w:pPr>
    <w:rPr>
      <w:rFonts w:eastAsia="黑体"/>
      <w:szCs w:val="21"/>
    </w:rPr>
  </w:style>
  <w:style w:type="paragraph" w:styleId="8">
    <w:name w:val="caption"/>
    <w:basedOn w:val="1"/>
    <w:next w:val="1"/>
    <w:link w:val="44"/>
    <w:qFormat/>
    <w:uiPriority w:val="0"/>
    <w:rPr>
      <w:rFonts w:eastAsia="黑体"/>
      <w:szCs w:val="20"/>
    </w:rPr>
  </w:style>
  <w:style w:type="paragraph" w:styleId="9">
    <w:name w:val="annotation text"/>
    <w:basedOn w:val="1"/>
    <w:semiHidden/>
    <w:qFormat/>
    <w:uiPriority w:val="99"/>
    <w:rPr>
      <w:kern w:val="0"/>
      <w:szCs w:val="20"/>
    </w:rPr>
  </w:style>
  <w:style w:type="paragraph" w:styleId="10">
    <w:name w:val="Body Text"/>
    <w:basedOn w:val="1"/>
    <w:link w:val="43"/>
    <w:qFormat/>
    <w:uiPriority w:val="0"/>
    <w:pPr>
      <w:spacing w:after="120"/>
    </w:pPr>
  </w:style>
  <w:style w:type="paragraph" w:styleId="11">
    <w:name w:val="Body Text Indent"/>
    <w:basedOn w:val="1"/>
    <w:unhideWhenUsed/>
    <w:qFormat/>
    <w:uiPriority w:val="99"/>
    <w:pPr>
      <w:spacing w:after="120"/>
      <w:ind w:left="420" w:leftChars="200"/>
    </w:pPr>
  </w:style>
  <w:style w:type="paragraph" w:styleId="12">
    <w:name w:val="Plain Text"/>
    <w:basedOn w:val="1"/>
    <w:qFormat/>
    <w:uiPriority w:val="0"/>
    <w:rPr>
      <w:rFonts w:ascii="宋体" w:hAnsi="Courier New" w:cs="Courier New"/>
      <w:szCs w:val="21"/>
    </w:rPr>
  </w:style>
  <w:style w:type="paragraph" w:styleId="13">
    <w:name w:val="footer"/>
    <w:basedOn w:val="1"/>
    <w:qFormat/>
    <w:uiPriority w:val="99"/>
    <w:pPr>
      <w:tabs>
        <w:tab w:val="center" w:pos="4153"/>
        <w:tab w:val="right" w:pos="8306"/>
      </w:tabs>
      <w:snapToGrid w:val="0"/>
      <w:spacing w:line="240" w:lineRule="auto"/>
      <w:ind w:firstLine="0" w:firstLineChars="0"/>
    </w:pPr>
    <w:rPr>
      <w:sz w:val="18"/>
      <w:szCs w:val="20"/>
    </w:rPr>
  </w:style>
  <w:style w:type="paragraph" w:styleId="14">
    <w:name w:val="header"/>
    <w:basedOn w:val="1"/>
    <w:link w:val="40"/>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ind w:firstLine="560"/>
    </w:pPr>
    <w:rPr>
      <w:sz w:val="28"/>
    </w:rPr>
  </w:style>
  <w:style w:type="paragraph" w:styleId="17">
    <w:name w:val="Normal (Web)"/>
    <w:basedOn w:val="1"/>
    <w:unhideWhenUsed/>
    <w:qFormat/>
    <w:uiPriority w:val="99"/>
  </w:style>
  <w:style w:type="paragraph" w:styleId="18">
    <w:name w:val="Title"/>
    <w:basedOn w:val="1"/>
    <w:qFormat/>
    <w:uiPriority w:val="99"/>
    <w:pPr>
      <w:spacing w:line="360" w:lineRule="exact"/>
      <w:outlineLvl w:val="0"/>
    </w:pPr>
    <w:rPr>
      <w:rFonts w:ascii="Cambria" w:hAnsi="Cambria"/>
      <w:b/>
      <w:kern w:val="0"/>
      <w:sz w:val="32"/>
      <w:szCs w:val="20"/>
    </w:rPr>
  </w:style>
  <w:style w:type="paragraph" w:styleId="19">
    <w:name w:val="Body Text First Indent 2"/>
    <w:basedOn w:val="1"/>
    <w:next w:val="1"/>
    <w:unhideWhenUsed/>
    <w:qFormat/>
    <w:uiPriority w:val="99"/>
    <w:pPr>
      <w:spacing w:line="240" w:lineRule="auto"/>
      <w:ind w:firstLine="420"/>
      <w:jc w:val="both"/>
    </w:pPr>
    <w:rPr>
      <w:rFonts w:ascii="Calibri" w:hAnsi="Calibri" w:cs="黑体"/>
      <w:sz w:val="21"/>
      <w:szCs w:val="21"/>
    </w:r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semiHidden/>
    <w:qFormat/>
    <w:uiPriority w:val="99"/>
    <w:rPr>
      <w:rFonts w:cs="Times New Roman"/>
      <w:color w:val="0000FF"/>
      <w:u w:val="single"/>
    </w:rPr>
  </w:style>
  <w:style w:type="character" w:styleId="24">
    <w:name w:val="annotation reference"/>
    <w:semiHidden/>
    <w:qFormat/>
    <w:uiPriority w:val="99"/>
    <w:rPr>
      <w:rFonts w:cs="Times New Roman"/>
      <w:sz w:val="21"/>
    </w:rPr>
  </w:style>
  <w:style w:type="paragraph" w:customStyle="1" w:styleId="25">
    <w:name w:val="book"/>
    <w:basedOn w:val="1"/>
    <w:qFormat/>
    <w:uiPriority w:val="0"/>
    <w:pPr>
      <w:ind w:firstLine="0" w:firstLineChars="0"/>
      <w:jc w:val="center"/>
    </w:pPr>
    <w:rPr>
      <w:rFonts w:cs="宋体"/>
      <w:sz w:val="21"/>
      <w:szCs w:val="20"/>
    </w:rPr>
  </w:style>
  <w:style w:type="paragraph" w:customStyle="1" w:styleId="26">
    <w:name w:val="表格内文字"/>
    <w:basedOn w:val="1"/>
    <w:qFormat/>
    <w:uiPriority w:val="0"/>
    <w:pPr>
      <w:framePr w:hSpace="181" w:wrap="around" w:vAnchor="text" w:hAnchor="text" w:x="58" w:y="1"/>
      <w:spacing w:line="360" w:lineRule="exact"/>
      <w:ind w:firstLine="0" w:firstLineChars="0"/>
      <w:jc w:val="center"/>
    </w:pPr>
    <w:rPr>
      <w:color w:val="000000"/>
      <w:kern w:val="0"/>
    </w:rPr>
  </w:style>
  <w:style w:type="paragraph" w:customStyle="1" w:styleId="27">
    <w:name w:val="我的标题1"/>
    <w:basedOn w:val="3"/>
    <w:qFormat/>
    <w:uiPriority w:val="0"/>
    <w:pPr>
      <w:numPr>
        <w:ilvl w:val="0"/>
        <w:numId w:val="0"/>
      </w:numPr>
      <w:spacing w:line="800" w:lineRule="exact"/>
    </w:pPr>
    <w:rPr>
      <w:rFonts w:hint="eastAsia" w:eastAsia="宋体"/>
      <w:sz w:val="28"/>
      <w:szCs w:val="32"/>
    </w:rPr>
  </w:style>
  <w:style w:type="paragraph" w:customStyle="1" w:styleId="28">
    <w:name w:val="样式 样式 样式 样式 小四 左 首行缩进:  2 字符 + 首行缩进:  2 字符 Char + 右  0 字符1 + 首行缩...3"/>
    <w:basedOn w:val="1"/>
    <w:qFormat/>
    <w:uiPriority w:val="99"/>
    <w:pPr>
      <w:adjustRightInd w:val="0"/>
      <w:spacing w:line="360" w:lineRule="auto"/>
      <w:ind w:firstLine="480"/>
      <w:textAlignment w:val="baseline"/>
    </w:pPr>
    <w:rPr>
      <w:rFonts w:cs="宋体"/>
      <w:szCs w:val="20"/>
    </w:rPr>
  </w:style>
  <w:style w:type="paragraph" w:customStyle="1" w:styleId="29">
    <w:name w:val="图编号"/>
    <w:basedOn w:val="1"/>
    <w:qFormat/>
    <w:uiPriority w:val="0"/>
    <w:pPr>
      <w:numPr>
        <w:ilvl w:val="0"/>
        <w:numId w:val="3"/>
      </w:numPr>
      <w:ind w:left="0" w:firstLine="0" w:firstLineChars="0"/>
      <w:jc w:val="center"/>
    </w:pPr>
    <w:rPr>
      <w:rFonts w:eastAsia="黑体"/>
    </w:rPr>
  </w:style>
  <w:style w:type="paragraph" w:customStyle="1" w:styleId="30">
    <w:name w:val="表格2"/>
    <w:basedOn w:val="1"/>
    <w:qFormat/>
    <w:uiPriority w:val="0"/>
    <w:pPr>
      <w:spacing w:line="320" w:lineRule="exact"/>
      <w:jc w:val="center"/>
    </w:p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报告书正文"/>
    <w:basedOn w:val="1"/>
    <w:qFormat/>
    <w:uiPriority w:val="0"/>
    <w:pPr>
      <w:adjustRightInd w:val="0"/>
      <w:spacing w:line="360" w:lineRule="auto"/>
      <w:ind w:firstLine="480"/>
    </w:pPr>
    <w:rPr>
      <w:szCs w:val="20"/>
    </w:rPr>
  </w:style>
  <w:style w:type="character" w:customStyle="1" w:styleId="33">
    <w:name w:val="0正文 Char"/>
    <w:qFormat/>
    <w:uiPriority w:val="0"/>
    <w:rPr>
      <w:rFonts w:ascii="Times New Roman" w:hAnsi="Times New Roman" w:eastAsia="宋体" w:cs="Times New Roman"/>
      <w:kern w:val="2"/>
      <w:sz w:val="24"/>
    </w:rPr>
  </w:style>
  <w:style w:type="paragraph" w:styleId="34">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p"/>
    <w:basedOn w:val="1"/>
    <w:qFormat/>
    <w:uiPriority w:val="0"/>
    <w:pPr>
      <w:widowControl/>
      <w:spacing w:before="100" w:beforeAutospacing="1" w:after="100" w:afterAutospacing="1"/>
    </w:pPr>
    <w:rPr>
      <w:rFonts w:ascii="宋体" w:hAnsi="宋体" w:cs="宋体"/>
      <w:kern w:val="0"/>
    </w:rPr>
  </w:style>
  <w:style w:type="paragraph" w:customStyle="1" w:styleId="36">
    <w:name w:val="Table Paragraph"/>
    <w:basedOn w:val="1"/>
    <w:qFormat/>
    <w:uiPriority w:val="1"/>
    <w:rPr>
      <w:rFonts w:ascii="宋体" w:hAnsi="宋体" w:cs="宋体"/>
      <w:lang w:val="zh-CN" w:bidi="zh-CN"/>
    </w:rPr>
  </w:style>
  <w:style w:type="paragraph" w:customStyle="1" w:styleId="37">
    <w:name w:val="表格"/>
    <w:basedOn w:val="1"/>
    <w:qFormat/>
    <w:uiPriority w:val="0"/>
    <w:pPr>
      <w:keepNext/>
      <w:adjustRightInd w:val="0"/>
      <w:spacing w:line="312" w:lineRule="atLeast"/>
      <w:jc w:val="center"/>
    </w:pPr>
    <w:rPr>
      <w:sz w:val="21"/>
    </w:rPr>
  </w:style>
  <w:style w:type="paragraph" w:customStyle="1" w:styleId="38">
    <w:name w:val="样式 居中"/>
    <w:basedOn w:val="1"/>
    <w:qFormat/>
    <w:uiPriority w:val="0"/>
    <w:pPr>
      <w:jc w:val="center"/>
    </w:pPr>
    <w:rPr>
      <w:rFonts w:cs="宋体"/>
      <w:szCs w:val="20"/>
    </w:rPr>
  </w:style>
  <w:style w:type="paragraph" w:customStyle="1" w:styleId="39">
    <w:name w:val="TableStyle12"/>
    <w:basedOn w:val="1"/>
    <w:qFormat/>
    <w:uiPriority w:val="0"/>
    <w:pPr>
      <w:jc w:val="center"/>
    </w:pPr>
  </w:style>
  <w:style w:type="character" w:customStyle="1" w:styleId="40">
    <w:name w:val="页眉 字符"/>
    <w:basedOn w:val="22"/>
    <w:link w:val="14"/>
    <w:uiPriority w:val="0"/>
    <w:rPr>
      <w:kern w:val="2"/>
      <w:sz w:val="18"/>
      <w:szCs w:val="18"/>
    </w:rPr>
  </w:style>
  <w:style w:type="paragraph" w:styleId="41">
    <w:name w:val="List Paragraph"/>
    <w:basedOn w:val="1"/>
    <w:uiPriority w:val="99"/>
    <w:pPr>
      <w:ind w:firstLine="420"/>
    </w:pPr>
  </w:style>
  <w:style w:type="paragraph" w:customStyle="1" w:styleId="42">
    <w:name w:val="报告表表格文字"/>
    <w:basedOn w:val="1"/>
    <w:uiPriority w:val="0"/>
    <w:pPr>
      <w:autoSpaceDE w:val="0"/>
      <w:autoSpaceDN w:val="0"/>
      <w:adjustRightInd w:val="0"/>
      <w:snapToGrid w:val="0"/>
      <w:spacing w:line="360" w:lineRule="exact"/>
      <w:jc w:val="center"/>
    </w:pPr>
    <w:rPr>
      <w:rFonts w:ascii="Georgia" w:hAnsi="Georgia"/>
      <w:color w:val="000000"/>
      <w:kern w:val="0"/>
      <w:sz w:val="21"/>
      <w:szCs w:val="21"/>
    </w:rPr>
  </w:style>
  <w:style w:type="character" w:customStyle="1" w:styleId="43">
    <w:name w:val="正文文本 字符"/>
    <w:basedOn w:val="22"/>
    <w:link w:val="10"/>
    <w:uiPriority w:val="0"/>
    <w:rPr>
      <w:rFonts w:hint="default" w:ascii="Georgia" w:hAnsi="Georgia" w:eastAsia="Georgia" w:cs="Georgia"/>
      <w:kern w:val="2"/>
      <w:sz w:val="28"/>
      <w:szCs w:val="22"/>
    </w:rPr>
  </w:style>
  <w:style w:type="character" w:customStyle="1" w:styleId="44">
    <w:name w:val="题注 字符"/>
    <w:basedOn w:val="22"/>
    <w:link w:val="8"/>
    <w:uiPriority w:val="0"/>
    <w:rPr>
      <w:b/>
      <w:sz w:val="24"/>
    </w:rPr>
  </w:style>
  <w:style w:type="character" w:customStyle="1" w:styleId="45">
    <w:name w:val="正文缩进 字符"/>
    <w:basedOn w:val="22"/>
    <w:link w:val="5"/>
    <w:uiPriority w:val="0"/>
    <w:rPr>
      <w:rFonts w:hint="default" w:ascii="Arial Narrow" w:hAnsi="Arial Narrow" w:eastAsia="Calibri" w:cs="楷体_GB2312"/>
      <w:b/>
      <w:kern w:val="2"/>
      <w:sz w:val="28"/>
      <w:lang w:eastAsia="en-US"/>
    </w:rPr>
  </w:style>
  <w:style w:type="paragraph" w:customStyle="1" w:styleId="46">
    <w:name w:val="c正文"/>
    <w:basedOn w:val="1"/>
    <w:uiPriority w:val="0"/>
    <w:pPr>
      <w:adjustRightInd w:val="0"/>
      <w:snapToGrid w:val="0"/>
      <w:spacing w:line="360" w:lineRule="auto"/>
      <w:ind w:firstLine="480"/>
      <w:jc w:val="both"/>
    </w:pPr>
    <w:rPr>
      <w:szCs w:val="20"/>
    </w:rPr>
  </w:style>
  <w:style w:type="paragraph" w:customStyle="1" w:styleId="47">
    <w:name w:val="p0"/>
    <w:uiPriority w:val="0"/>
    <w:pPr>
      <w:jc w:val="center"/>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9C8E8-7840-4826-9FA8-5106564FC680}">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4463</Words>
  <Characters>25442</Characters>
  <Lines>212</Lines>
  <Paragraphs>59</Paragraphs>
  <TotalTime>1128</TotalTime>
  <ScaleCrop>false</ScaleCrop>
  <LinksUpToDate>false</LinksUpToDate>
  <CharactersWithSpaces>29846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2019-04-25T07:51:00Z</dcterms:created>
  <dc:creator>Administrator</dc:creator>
  <cp:lastModifiedBy>一颗石榴籽</cp:lastModifiedBy>
  <dcterms:modified xsi:type="dcterms:W3CDTF">2020-04-29T03:23:50Z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