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88" w:tblpY="103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047"/>
        <w:gridCol w:w="4028"/>
        <w:gridCol w:w="1392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  <w:lang w:val="en-US" w:eastAsia="zh-CN"/>
              </w:rPr>
              <w:t>短视频大赛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</w:rPr>
              <w:t>评分表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作品序号：       　　　　　　　　　　作品名称：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评分项</w:t>
            </w:r>
          </w:p>
        </w:tc>
        <w:tc>
          <w:tcPr>
            <w:tcW w:w="4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评分标准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分值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主题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定位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主题特色鲜明，内容健康积极，符合参赛要求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与金银花文化元素相关。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作品创意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内容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、制作及表现手法新颖独到，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匠心独运，不拘一格，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内涵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深刻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撼动人心。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剪辑制作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视觉：画面音质流畅，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色彩表达准确，构图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精心合理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镜头切换自然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场景衔接顺畅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音效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配乐贴切适当，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能够渲染表现主题，升华内容，给人以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丰富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的想象空间。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解说或台词普通话标准（如系方言，仅限封丘话），语言规范，吐字清晰，声音圆润。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剪辑：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情节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精炼，不冗长，不短缺。字幕清晰，与声音搭配得当，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无错别字，字体大小及位置与画面谐调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。 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角色演绎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角色演绎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精神饱满，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情绪到位，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生动自然，表情丰富，语言流畅，能较好地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姿态、动作、手势、表情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等肢体语言融于剧情；各演员相互之间配合默契，对白、动作谐调有序。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综合效果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部作品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紧扣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金银花及中医药文化及封丘地域文化特色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主题，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从主旨内容、剧本创意、演员表现、镜头表现、后期效果、剪辑衔接、配乐音效等方面均表现优异，能够给观众深刻的印象，具备较强的网络传播潜力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9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总分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A55E5"/>
    <w:rsid w:val="6D9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2021-04-30T02:07:00Z</dcterms:created>
  <dc:creator>zbs</dc:creator>
  <cp:lastModifiedBy>zbs</cp:lastModifiedBy>
  <dcterms:modified xsi:type="dcterms:W3CDTF">2021-04-30T02:08:13Z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774F41CDD4E64BFA88AB3C7276B245AD</vt:lpwstr>
  </property>
</Properties>
</file>