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pacing w:line="360" w:lineRule="auto"/>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bookmarkStart w:id="0" w:name="_GoBack"/>
      <w:bookmarkEnd w:id="0"/>
    </w:p>
    <w:p>
      <w:pPr>
        <w:jc w:val="center"/>
        <w:rPr>
          <w:rFonts w:hint="eastAsia" w:ascii="仿宋" w:hAnsi="仿宋" w:eastAsia="仿宋" w:cs="仿宋"/>
          <w:b w:val="0"/>
          <w:bCs w:val="0"/>
          <w:sz w:val="32"/>
          <w:szCs w:val="32"/>
          <w:lang w:val="en-US" w:eastAsia="zh-CN"/>
        </w:rPr>
      </w:pPr>
      <w:r>
        <w:rPr>
          <w:rFonts w:hint="eastAsia" w:ascii="宋体" w:hAnsi="宋体" w:eastAsia="宋体" w:cs="宋体"/>
          <w:b/>
          <w:bCs/>
          <w:sz w:val="44"/>
          <w:szCs w:val="44"/>
          <w:lang w:val="en-US" w:eastAsia="zh-CN"/>
        </w:rPr>
        <w:t>封丘县城市管理局轻微违法行为免予处罚清单</w:t>
      </w:r>
    </w:p>
    <w:tbl>
      <w:tblPr>
        <w:tblStyle w:val="6"/>
        <w:tblW w:w="14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4574"/>
        <w:gridCol w:w="399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5" w:type="dxa"/>
            <w:noWrap w:val="0"/>
            <w:vAlign w:val="top"/>
          </w:tcPr>
          <w:p>
            <w:pPr>
              <w:widowControl w:val="0"/>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序号</w:t>
            </w:r>
          </w:p>
        </w:tc>
        <w:tc>
          <w:tcPr>
            <w:tcW w:w="4574" w:type="dxa"/>
            <w:noWrap w:val="0"/>
            <w:vAlign w:val="top"/>
          </w:tcPr>
          <w:p>
            <w:pPr>
              <w:widowControl w:val="0"/>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处罚事项名称</w:t>
            </w:r>
          </w:p>
        </w:tc>
        <w:tc>
          <w:tcPr>
            <w:tcW w:w="3990" w:type="dxa"/>
            <w:noWrap w:val="0"/>
            <w:vAlign w:val="top"/>
          </w:tcPr>
          <w:p>
            <w:pPr>
              <w:widowControl w:val="0"/>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设定依据</w:t>
            </w:r>
          </w:p>
        </w:tc>
        <w:tc>
          <w:tcPr>
            <w:tcW w:w="4530" w:type="dxa"/>
            <w:noWrap w:val="0"/>
            <w:vAlign w:val="top"/>
          </w:tcPr>
          <w:p>
            <w:pPr>
              <w:widowControl w:val="0"/>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lang w:val="en-US" w:eastAsia="zh-CN"/>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4574"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城市市容和环境卫生责任区的责任人不履行管理责任，责任区市容和环境卫生不符合有关标准的</w:t>
            </w:r>
            <w:r>
              <w:rPr>
                <w:rFonts w:hint="eastAsia" w:ascii="仿宋" w:hAnsi="仿宋" w:eastAsia="仿宋" w:cs="仿宋"/>
                <w:sz w:val="24"/>
                <w:szCs w:val="24"/>
                <w:lang w:eastAsia="zh-CN"/>
              </w:rPr>
              <w:t>。</w:t>
            </w:r>
          </w:p>
        </w:tc>
        <w:tc>
          <w:tcPr>
            <w:tcW w:w="3990"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《新乡市城市市容和环境卫生管理条例》第十二条</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首次违法，经责令限期改正后,在限期内改正的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4574"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建(构)筑物外立面出现残破等情况未及时修复的</w:t>
            </w:r>
            <w:r>
              <w:rPr>
                <w:rFonts w:hint="eastAsia" w:ascii="仿宋" w:hAnsi="仿宋" w:eastAsia="仿宋" w:cs="仿宋"/>
                <w:sz w:val="24"/>
                <w:szCs w:val="24"/>
                <w:lang w:eastAsia="zh-CN"/>
              </w:rPr>
              <w:t>。</w:t>
            </w:r>
          </w:p>
        </w:tc>
        <w:tc>
          <w:tcPr>
            <w:tcW w:w="3990"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《新乡市城市市容和环境卫生管理条例》第十四条第一项</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首次违法，经责令限期改正后，在限期内改正的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4574"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在主要街道和重点区域上空新建架空管线设施的</w:t>
            </w:r>
            <w:r>
              <w:rPr>
                <w:rFonts w:hint="eastAsia" w:ascii="仿宋" w:hAnsi="仿宋" w:eastAsia="仿宋" w:cs="仿宋"/>
                <w:sz w:val="24"/>
                <w:szCs w:val="24"/>
                <w:lang w:eastAsia="zh-CN"/>
              </w:rPr>
              <w:t>。</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《新乡市城市市容和环境卫生管理条例》第二十</w:t>
            </w:r>
            <w:r>
              <w:rPr>
                <w:rFonts w:hint="eastAsia" w:ascii="仿宋" w:hAnsi="仿宋" w:eastAsia="仿宋" w:cs="仿宋"/>
                <w:sz w:val="24"/>
                <w:szCs w:val="24"/>
                <w:lang w:val="en-US" w:eastAsia="zh-CN"/>
              </w:rPr>
              <w:t>二</w:t>
            </w:r>
            <w:r>
              <w:rPr>
                <w:rFonts w:hint="eastAsia" w:ascii="仿宋" w:hAnsi="仿宋" w:eastAsia="仿宋" w:cs="仿宋"/>
                <w:sz w:val="24"/>
                <w:szCs w:val="24"/>
              </w:rPr>
              <w:t>条第二款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当事人首次违法，经责令改正后，立即改正的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4574"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对暂不能入地的架空管线，未采取有效措施进行规范致使凌乱悬挂的。</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《新乡市城市市容和环境卫生管理条例》第二十</w:t>
            </w:r>
            <w:r>
              <w:rPr>
                <w:rFonts w:hint="eastAsia" w:ascii="仿宋" w:hAnsi="仿宋" w:eastAsia="仿宋" w:cs="仿宋"/>
                <w:sz w:val="24"/>
                <w:szCs w:val="24"/>
                <w:lang w:val="en-US" w:eastAsia="zh-CN"/>
              </w:rPr>
              <w:t>二</w:t>
            </w:r>
            <w:r>
              <w:rPr>
                <w:rFonts w:hint="eastAsia" w:ascii="仿宋" w:hAnsi="仿宋" w:eastAsia="仿宋" w:cs="仿宋"/>
                <w:sz w:val="24"/>
                <w:szCs w:val="24"/>
              </w:rPr>
              <w:t>条第二款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当事人首次违法，经责令改正后，立即改正的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457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从事生活垃圾经营性清扫、收集、运输的企业未按照有关规定清运生活垃圾</w:t>
            </w:r>
            <w:r>
              <w:rPr>
                <w:rFonts w:hint="eastAsia" w:ascii="仿宋" w:hAnsi="仿宋" w:eastAsia="仿宋" w:cs="仿宋"/>
                <w:sz w:val="24"/>
                <w:szCs w:val="24"/>
                <w:lang w:val="en-US" w:eastAsia="zh-CN"/>
              </w:rPr>
              <w:t>的</w:t>
            </w:r>
            <w:r>
              <w:rPr>
                <w:rFonts w:hint="eastAsia" w:ascii="仿宋" w:hAnsi="仿宋" w:eastAsia="仿宋" w:cs="仿宋"/>
                <w:sz w:val="24"/>
                <w:szCs w:val="24"/>
                <w:lang w:eastAsia="zh-CN"/>
              </w:rPr>
              <w:t>。</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《新乡市城市市容和环境卫生管理条例》第三十四条第一款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当事人首次违法，经责令改正后，二日内整改完毕的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457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节庆、文化、体育等活动举办者未及时清除产生的垃圾等废弃物的</w:t>
            </w:r>
            <w:r>
              <w:rPr>
                <w:rFonts w:hint="eastAsia" w:ascii="仿宋" w:hAnsi="仿宋" w:eastAsia="仿宋" w:cs="仿宋"/>
                <w:sz w:val="24"/>
                <w:szCs w:val="24"/>
                <w:lang w:eastAsia="zh-CN"/>
              </w:rPr>
              <w:t>。</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《新乡市城市市容和环境卫生管理条例》第三十八条第三款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当事人首次违法，经责令改正后，立即改正，清除到位的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457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活动结束未及时拆除临时设施的</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《新乡市城市市容和环境卫生管理条例》第三十八条第三款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当事人首次违法，经责令改正后，立即改正，</w:t>
            </w:r>
            <w:r>
              <w:rPr>
                <w:rFonts w:hint="eastAsia" w:ascii="仿宋" w:hAnsi="仿宋" w:eastAsia="仿宋" w:cs="仿宋"/>
                <w:sz w:val="24"/>
                <w:szCs w:val="24"/>
                <w:lang w:val="en-US" w:eastAsia="zh-CN"/>
              </w:rPr>
              <w:t>拆除</w:t>
            </w:r>
            <w:r>
              <w:rPr>
                <w:rFonts w:hint="eastAsia" w:ascii="仿宋" w:hAnsi="仿宋" w:eastAsia="仿宋" w:cs="仿宋"/>
                <w:sz w:val="24"/>
                <w:szCs w:val="24"/>
              </w:rPr>
              <w:t>到位的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457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未经许可在公共场地搭建</w:t>
            </w:r>
            <w:r>
              <w:rPr>
                <w:rFonts w:hint="eastAsia" w:ascii="仿宋" w:hAnsi="仿宋" w:eastAsia="仿宋" w:cs="仿宋"/>
                <w:i w:val="0"/>
                <w:caps w:val="0"/>
                <w:color w:val="000000" w:themeColor="text1"/>
                <w:spacing w:val="0"/>
                <w:kern w:val="0"/>
                <w:sz w:val="24"/>
                <w:szCs w:val="24"/>
                <w:shd w:val="clear" w:color="auto" w:fill="FFFFFF"/>
                <w:lang w:val="en-US" w:eastAsia="zh-CN" w:bidi="ar"/>
                <w14:textFill>
                  <w14:solidFill>
                    <w14:schemeClr w14:val="tx1"/>
                  </w14:solidFill>
                </w14:textFill>
              </w:rPr>
              <w:t>临时堆放物料、搭建非永久性建（构）筑物或者其他设施的。</w:t>
            </w:r>
          </w:p>
        </w:tc>
        <w:tc>
          <w:tcPr>
            <w:tcW w:w="399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《新乡市城市市容和环境卫生管理条例》第三十八条第</w:t>
            </w:r>
            <w:r>
              <w:rPr>
                <w:rFonts w:hint="eastAsia" w:ascii="仿宋" w:hAnsi="仿宋" w:eastAsia="仿宋" w:cs="仿宋"/>
                <w:sz w:val="24"/>
                <w:szCs w:val="24"/>
                <w:lang w:val="en-US" w:eastAsia="zh-CN"/>
              </w:rPr>
              <w:t>二</w:t>
            </w:r>
            <w:r>
              <w:rPr>
                <w:rFonts w:hint="eastAsia" w:ascii="仿宋" w:hAnsi="仿宋" w:eastAsia="仿宋" w:cs="仿宋"/>
                <w:sz w:val="24"/>
                <w:szCs w:val="24"/>
              </w:rPr>
              <w:t>款</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面积在五平方米以下的且经责令限期拆除后在限期内拆除的。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4574"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未经许可擅自设置大型户外广告</w:t>
            </w:r>
            <w:r>
              <w:rPr>
                <w:rFonts w:hint="eastAsia" w:ascii="仿宋" w:hAnsi="仿宋" w:eastAsia="仿宋" w:cs="仿宋"/>
                <w:sz w:val="24"/>
                <w:szCs w:val="24"/>
                <w:lang w:eastAsia="zh-CN"/>
              </w:rPr>
              <w:t>，</w:t>
            </w:r>
            <w:r>
              <w:rPr>
                <w:rFonts w:hint="eastAsia" w:ascii="仿宋" w:hAnsi="仿宋" w:eastAsia="仿宋" w:cs="仿宋"/>
                <w:sz w:val="24"/>
                <w:szCs w:val="24"/>
              </w:rPr>
              <w:t>未按照户外广告设置许可证上载明的内容进行设置、户外广告设施设置有效期届满后未按规定拆除的</w:t>
            </w:r>
          </w:p>
        </w:tc>
        <w:tc>
          <w:tcPr>
            <w:tcW w:w="3990" w:type="dxa"/>
            <w:noWrap w:val="0"/>
            <w:vAlign w:val="center"/>
          </w:tcPr>
          <w:p>
            <w:pPr>
              <w:widowControl w:val="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《新乡市户外广告设置管理条例》第十二条笫一款、笫十六条第二款规定</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当事人首次违法且经责令限期改正后，在限期内改正的</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4574" w:type="dxa"/>
            <w:noWrap w:val="0"/>
            <w:vAlign w:val="center"/>
          </w:tcPr>
          <w:p>
            <w:pPr>
              <w:widowControl w:val="0"/>
              <w:jc w:val="left"/>
              <w:rPr>
                <w:rFonts w:hint="eastAsia" w:ascii="仿宋" w:hAnsi="仿宋" w:eastAsia="仿宋" w:cs="仿宋"/>
                <w:sz w:val="24"/>
                <w:szCs w:val="24"/>
                <w:lang w:eastAsia="zh-CN"/>
              </w:rPr>
            </w:pPr>
            <w:r>
              <w:rPr>
                <w:rFonts w:hint="eastAsia" w:ascii="仿宋" w:hAnsi="仿宋" w:eastAsia="仿宋" w:cs="仿宋"/>
                <w:sz w:val="24"/>
                <w:szCs w:val="24"/>
              </w:rPr>
              <w:t>未按照户外广告设置专项规划设置户外广告的</w:t>
            </w:r>
            <w:r>
              <w:rPr>
                <w:rFonts w:hint="eastAsia" w:ascii="仿宋" w:hAnsi="仿宋" w:eastAsia="仿宋" w:cs="仿宋"/>
                <w:sz w:val="24"/>
                <w:szCs w:val="24"/>
                <w:lang w:eastAsia="zh-CN"/>
              </w:rPr>
              <w:t>。</w:t>
            </w:r>
          </w:p>
        </w:tc>
        <w:tc>
          <w:tcPr>
            <w:tcW w:w="3990" w:type="dxa"/>
            <w:noWrap w:val="0"/>
            <w:vAlign w:val="center"/>
          </w:tcPr>
          <w:p>
            <w:pPr>
              <w:widowControl w:val="0"/>
              <w:jc w:val="left"/>
              <w:rPr>
                <w:rFonts w:hint="eastAsia" w:ascii="仿宋" w:hAnsi="仿宋" w:eastAsia="仿宋" w:cs="仿宋"/>
                <w:sz w:val="24"/>
                <w:szCs w:val="24"/>
                <w:lang w:eastAsia="zh-CN"/>
              </w:rPr>
            </w:pPr>
            <w:r>
              <w:rPr>
                <w:rFonts w:hint="eastAsia" w:ascii="仿宋" w:hAnsi="仿宋" w:eastAsia="仿宋" w:cs="仿宋"/>
                <w:sz w:val="24"/>
                <w:szCs w:val="24"/>
              </w:rPr>
              <w:t>《新乡市户外广告设置管理条例》第十一条规定</w:t>
            </w:r>
            <w:r>
              <w:rPr>
                <w:rFonts w:hint="eastAsia" w:ascii="仿宋" w:hAnsi="仿宋" w:eastAsia="仿宋" w:cs="仿宋"/>
                <w:sz w:val="24"/>
                <w:szCs w:val="24"/>
                <w:lang w:eastAsia="zh-CN"/>
              </w:rPr>
              <w:t>。</w:t>
            </w:r>
          </w:p>
        </w:tc>
        <w:tc>
          <w:tcPr>
            <w:tcW w:w="45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当事人首次违法且经责令限期改正后，在限期内改正的。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4574" w:type="dxa"/>
            <w:noWrap w:val="0"/>
            <w:vAlign w:val="center"/>
          </w:tcPr>
          <w:p>
            <w:pPr>
              <w:widowControl w:val="0"/>
              <w:jc w:val="left"/>
              <w:rPr>
                <w:rFonts w:hint="eastAsia" w:ascii="仿宋" w:hAnsi="仿宋" w:eastAsia="仿宋" w:cs="仿宋"/>
                <w:sz w:val="24"/>
                <w:szCs w:val="24"/>
              </w:rPr>
            </w:pPr>
            <w:r>
              <w:rPr>
                <w:rFonts w:hint="eastAsia" w:ascii="仿宋" w:hAnsi="仿宋" w:eastAsia="仿宋" w:cs="仿宋"/>
                <w:i w:val="0"/>
                <w:caps w:val="0"/>
                <w:color w:val="333333"/>
                <w:spacing w:val="0"/>
                <w:kern w:val="0"/>
                <w:sz w:val="24"/>
                <w:szCs w:val="24"/>
                <w:shd w:val="clear" w:color="auto" w:fill="FFFFFF"/>
                <w:lang w:val="en-US" w:eastAsia="zh-CN" w:bidi="ar"/>
              </w:rPr>
              <w:t>擅自占用城市道路以及桥梁、地下通道、广场等公共场所从事经营活动的。临街和广场周边的经营者不得超出门窗、外墙进行店外经营、作业或者展示、堆放物品的。</w:t>
            </w:r>
          </w:p>
        </w:tc>
        <w:tc>
          <w:tcPr>
            <w:tcW w:w="3990" w:type="dxa"/>
            <w:noWrap w:val="0"/>
            <w:vAlign w:val="center"/>
          </w:tcPr>
          <w:p>
            <w:pPr>
              <w:widowControl w:val="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《新乡市城市市容和环境卫生管理条例》 第十六条第二款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占用公共场所、公共区域或超出门窗、外墙面积二平方米以下并经责令改正后，立即改正的。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占用城市道路两侧的公共区域从事经营性车辆维修、清洗和装饰的。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 第十七条 第一款规定。</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kern w:val="0"/>
                <w:sz w:val="24"/>
                <w:szCs w:val="24"/>
                <w:shd w:val="clear" w:color="auto" w:fill="FFFFFF"/>
                <w:lang w:val="en-US" w:eastAsia="zh-CN" w:bidi="ar"/>
              </w:rPr>
              <w:t>占用公共场所、公共区域或超出门窗、外墙面积二平方米以下并经责令改正后，立即改正的。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在地面、树木、电线杆、灯杆、建（构）筑物或者其他设施上涂写、刻画。未经城市市容和环境卫生行政主管部门或者其他有关部门批准，擅自张贴、悬挂宣传品的。</w:t>
            </w:r>
          </w:p>
        </w:tc>
        <w:tc>
          <w:tcPr>
            <w:tcW w:w="3990" w:type="dxa"/>
            <w:noWrap w:val="0"/>
            <w:vAlign w:val="center"/>
          </w:tcPr>
          <w:p>
            <w:pPr>
              <w:widowControl w:val="0"/>
              <w:jc w:val="left"/>
              <w:rPr>
                <w:rFonts w:hint="eastAsia" w:ascii="仿宋" w:hAnsi="仿宋" w:eastAsia="仿宋" w:cs="仿宋"/>
                <w:b w:val="0"/>
                <w:bCs w:val="0"/>
                <w:i w:val="0"/>
                <w:caps w:val="0"/>
                <w:color w:val="333333"/>
                <w:spacing w:val="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kern w:val="0"/>
                <w:sz w:val="24"/>
                <w:szCs w:val="24"/>
                <w:shd w:val="clear" w:color="auto" w:fill="FFFFFF"/>
                <w:lang w:val="en-US" w:eastAsia="zh-CN" w:bidi="ar"/>
              </w:rPr>
              <w:t>《新乡市城市市容和环境卫生管理条例》 第二十三条第二款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责令限期清理后，在限期内清理到位的。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kern w:val="0"/>
                <w:sz w:val="24"/>
                <w:szCs w:val="24"/>
                <w:shd w:val="clear" w:color="auto" w:fill="FFFFFF"/>
                <w:lang w:val="en-US" w:eastAsia="zh-CN" w:bidi="ar"/>
              </w:rPr>
              <w:t>在城市道路上运输垃圾、渣土、砂石、土方、灰浆、粪便等散装或者流体物料的车辆，未采取密封、包扎、覆盖等措施的。</w:t>
            </w:r>
          </w:p>
        </w:tc>
        <w:tc>
          <w:tcPr>
            <w:tcW w:w="3990" w:type="dxa"/>
            <w:noWrap w:val="0"/>
            <w:vAlign w:val="center"/>
          </w:tcPr>
          <w:p>
            <w:pPr>
              <w:widowControl w:val="0"/>
              <w:jc w:val="left"/>
              <w:rPr>
                <w:rFonts w:hint="eastAsia" w:ascii="仿宋" w:hAnsi="仿宋" w:eastAsia="仿宋" w:cs="仿宋"/>
                <w:b w:val="0"/>
                <w:bCs w:val="0"/>
                <w:i w:val="0"/>
                <w:caps w:val="0"/>
                <w:color w:val="333333"/>
                <w:spacing w:val="0"/>
                <w:kern w:val="0"/>
                <w:sz w:val="24"/>
                <w:szCs w:val="24"/>
                <w:shd w:val="clear" w:color="auto" w:fill="FFFFFF"/>
                <w:lang w:val="en-US" w:eastAsia="zh-CN" w:bidi="ar"/>
              </w:rPr>
            </w:pPr>
            <w:r>
              <w:rPr>
                <w:rFonts w:hint="eastAsia" w:ascii="仿宋" w:hAnsi="仿宋" w:eastAsia="仿宋" w:cs="仿宋"/>
                <w:b w:val="0"/>
                <w:bCs w:val="0"/>
                <w:sz w:val="24"/>
                <w:szCs w:val="24"/>
                <w:lang w:val="en-US" w:eastAsia="zh-CN"/>
              </w:rPr>
              <w:t>《新乡市城市市容和环境卫生管理条例》</w:t>
            </w:r>
          </w:p>
          <w:p>
            <w:pPr>
              <w:widowControl w:val="0"/>
              <w:jc w:val="left"/>
              <w:rPr>
                <w:rFonts w:hint="eastAsia" w:ascii="仿宋" w:hAnsi="仿宋" w:eastAsia="仿宋" w:cs="仿宋"/>
                <w:b w:val="0"/>
                <w:bCs w:val="0"/>
                <w:i w:val="0"/>
                <w:caps w:val="0"/>
                <w:color w:val="333333"/>
                <w:spacing w:val="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kern w:val="0"/>
                <w:sz w:val="24"/>
                <w:szCs w:val="24"/>
                <w:shd w:val="clear" w:color="auto" w:fill="FFFFFF"/>
                <w:lang w:val="en-US" w:eastAsia="zh-CN" w:bidi="ar"/>
              </w:rPr>
              <w:t>第四十一条。</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经责令改正后立即改正且未发生物料遗撒现象的。</w:t>
            </w:r>
            <w:r>
              <w:rPr>
                <w:rFonts w:hint="eastAsia" w:ascii="仿宋" w:hAnsi="仿宋" w:eastAsia="仿宋" w:cs="仿宋"/>
                <w:i w:val="0"/>
                <w:caps w:val="0"/>
                <w:color w:val="333333"/>
                <w:spacing w:val="0"/>
                <w:kern w:val="0"/>
                <w:sz w:val="24"/>
                <w:szCs w:val="24"/>
                <w:shd w:val="clear" w:color="auto" w:fill="FFFFFF"/>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4574" w:type="dxa"/>
            <w:noWrap w:val="0"/>
            <w:vAlign w:val="center"/>
          </w:tcPr>
          <w:p>
            <w:pPr>
              <w:widowControl w:val="0"/>
              <w:jc w:val="left"/>
              <w:rPr>
                <w:rFonts w:hint="eastAsia" w:ascii="仿宋" w:hAnsi="仿宋" w:eastAsia="仿宋" w:cs="仿宋"/>
                <w:b w:val="0"/>
                <w:bCs w:val="0"/>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擅自在城市道路设置斜坡、台阶的，或者设置地桩、地锁以及放置其他障碍物圈占道路、公共场地。</w:t>
            </w:r>
          </w:p>
        </w:tc>
        <w:tc>
          <w:tcPr>
            <w:tcW w:w="3990" w:type="dxa"/>
            <w:noWrap w:val="0"/>
            <w:vAlign w:val="center"/>
          </w:tcPr>
          <w:p>
            <w:pPr>
              <w:widowControl w:val="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i w:val="0"/>
                <w:caps w:val="0"/>
                <w:color w:val="333333"/>
                <w:spacing w:val="0"/>
                <w:kern w:val="0"/>
                <w:sz w:val="24"/>
                <w:szCs w:val="24"/>
                <w:shd w:val="clear" w:color="auto" w:fill="FFFFFF"/>
                <w:lang w:val="en-US" w:eastAsia="zh-CN" w:bidi="ar"/>
              </w:rPr>
              <w:t>《新乡市城市市容和环境卫生管理条例》  第十五条第一款、第二十条第三款。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经责令限期改正后，在限期内改正，未造成损害后果的。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p>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主要街道两侧和重点区域的建筑物顶部、阳（平）台外和窗外，堆放、吊挂或者晾晒有碍城市容貌的物品的。</w:t>
            </w:r>
          </w:p>
        </w:tc>
        <w:tc>
          <w:tcPr>
            <w:tcW w:w="3990" w:type="dxa"/>
            <w:noWrap w:val="0"/>
            <w:vAlign w:val="center"/>
          </w:tcPr>
          <w:p>
            <w:pPr>
              <w:widowControl w:val="0"/>
              <w:jc w:val="left"/>
              <w:rPr>
                <w:rFonts w:hint="eastAsia" w:ascii="仿宋" w:hAnsi="仿宋" w:eastAsia="仿宋" w:cs="仿宋"/>
                <w:b w:val="0"/>
                <w:bCs w:val="0"/>
                <w:i w:val="0"/>
                <w:caps w:val="0"/>
                <w:color w:val="333333"/>
                <w:spacing w:val="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kern w:val="0"/>
                <w:sz w:val="24"/>
                <w:szCs w:val="24"/>
                <w:shd w:val="clear" w:color="auto" w:fill="FFFFFF"/>
                <w:lang w:val="en-US" w:eastAsia="zh-CN" w:bidi="ar"/>
              </w:rPr>
              <w:t>《新乡市城市市容和环境卫生管理条例》 第十四条第二项。</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轻微违法行为的表现情形：当事人首次违法，经责令改正后，立即改正的。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05" w:type="dxa"/>
            <w:noWrap w:val="0"/>
            <w:vAlign w:val="center"/>
          </w:tcPr>
          <w:p>
            <w:pPr>
              <w:widowControl w:val="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依附于建（构）筑物违法搭建附属设施的。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 第十四条第三项。</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经责令限期改正后，在限期内改正的。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18</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将落叶、纸屑、尘土等垃圾扫入下水道、绿地和河沟内的，将淤泥、污物直接堆放在城市道路上的，或者未及时清理枝叶、泥土等废弃物的。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《新乡市城市市容和环境卫生管理条例》第三十九条，第四十条。</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责令改正后立即改正到位，未造成危害后果的。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005" w:type="dxa"/>
            <w:noWrap w:val="0"/>
            <w:vAlign w:val="center"/>
          </w:tcPr>
          <w:p>
            <w:pPr>
              <w:widowControl w:val="0"/>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19</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饲养鸡、鸭、鹅、兔、羊、猪等家禽家畜的。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《新乡市城市市容和环境卫生管理条例》第四十二条第一款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经责令限期处理后及时处理，尚未造成污染的。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5" w:type="dxa"/>
            <w:noWrap w:val="0"/>
            <w:vAlign w:val="center"/>
          </w:tcPr>
          <w:p>
            <w:pPr>
              <w:widowControl w:val="0"/>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20</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宠物在城市道路、公共场所排泄粪便的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《新乡市城市市容和环境卫生管理条例》第四十二条第二款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经责令清理后，能够立即清理的。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21</w:t>
            </w:r>
          </w:p>
        </w:tc>
        <w:tc>
          <w:tcPr>
            <w:tcW w:w="4574" w:type="dxa"/>
            <w:noWrap w:val="0"/>
            <w:vAlign w:val="center"/>
          </w:tcPr>
          <w:p>
            <w:pPr>
              <w:widowControl w:val="0"/>
              <w:jc w:val="left"/>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随地吐痰、便溺的，或者乱扔果皮（核）、纸屑、烟蒂、包装纸（袋、盒）、饮料罐（瓶）、口香糖渣等废弃物的。</w:t>
            </w:r>
          </w:p>
        </w:tc>
        <w:tc>
          <w:tcPr>
            <w:tcW w:w="3990" w:type="dxa"/>
            <w:noWrap w:val="0"/>
            <w:vAlign w:val="center"/>
          </w:tcPr>
          <w:p>
            <w:pPr>
              <w:widowControl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《新乡市城市市容和环境卫生管理条例》第四十三条第一项、第二项</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经责令清理后，能够立即清理的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noWrap w:val="0"/>
            <w:vAlign w:val="center"/>
          </w:tcPr>
          <w:p>
            <w:pPr>
              <w:widowControl w:val="0"/>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22</w:t>
            </w:r>
          </w:p>
        </w:tc>
        <w:tc>
          <w:tcPr>
            <w:tcW w:w="4574" w:type="dxa"/>
            <w:noWrap w:val="0"/>
            <w:vAlign w:val="center"/>
          </w:tcPr>
          <w:p>
            <w:pPr>
              <w:widowControl w:val="0"/>
              <w:jc w:val="left"/>
              <w:rPr>
                <w:rFonts w:hint="default"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在居民楼住宅区、未配套设立专用烟道的商用综合楼内与居住层与层相邻的商业楼层内新建、改建、扩建产生油烟、异味、废气的餐饮服务项目</w:t>
            </w:r>
          </w:p>
        </w:tc>
        <w:tc>
          <w:tcPr>
            <w:tcW w:w="3990" w:type="dxa"/>
            <w:noWrap w:val="0"/>
            <w:vAlign w:val="center"/>
          </w:tcPr>
          <w:p>
            <w:pPr>
              <w:widowControl w:val="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《新乡市大气污染防治条例》第三十二条第二款，第四十一条第二款</w:t>
            </w:r>
          </w:p>
        </w:tc>
        <w:tc>
          <w:tcPr>
            <w:tcW w:w="45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i w:val="0"/>
                <w:caps w:val="0"/>
                <w:color w:val="333333"/>
                <w:spacing w:val="0"/>
                <w:kern w:val="0"/>
                <w:sz w:val="24"/>
                <w:szCs w:val="24"/>
                <w:shd w:val="clear" w:color="auto" w:fill="FFFFFF"/>
                <w:lang w:val="en-US" w:eastAsia="zh-CN" w:bidi="ar"/>
              </w:rPr>
              <w:t xml:space="preserve">经责令改正后改正到位的    </w:t>
            </w:r>
          </w:p>
        </w:tc>
      </w:tr>
    </w:tbl>
    <w:p>
      <w:pPr>
        <w:pStyle w:val="4"/>
        <w:rPr>
          <w:rFonts w:hint="eastAsia" w:ascii="宋体" w:hAnsi="宋体" w:eastAsia="宋体" w:cs="宋体"/>
          <w:sz w:val="21"/>
          <w:szCs w:val="21"/>
          <w:lang w:val="en-US" w:eastAsia="zh-CN"/>
        </w:rPr>
      </w:pPr>
    </w:p>
    <w:p>
      <w:pPr>
        <w:pStyle w:val="4"/>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备注：1.</w:t>
      </w:r>
      <w:r>
        <w:rPr>
          <w:rFonts w:hint="eastAsia" w:ascii="仿宋" w:hAnsi="仿宋" w:eastAsia="仿宋" w:cs="仿宋"/>
          <w:sz w:val="32"/>
          <w:szCs w:val="32"/>
        </w:rPr>
        <w:t>对符合清单规定情形的轻微违法行为，要以事实为依据，综合考虑违法行为的性质、情节以及社会危害程度，综合运用批评教育、政策提醒告诫、约谈、责令改正等多种措施，督促其及时纠正违法行为，合法合规生产经营。对违法行为轻微并及时改正，未造成危害后果的，依法不予行政处罚。</w:t>
      </w:r>
    </w:p>
    <w:p>
      <w:pPr>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其他符合《中华人民共和国行政处罚法》等法律、法规、规章规定的不予行政处罚情形的城市管理轻微违法违规行为，不予行政处罚</w:t>
      </w:r>
      <w:r>
        <w:rPr>
          <w:rFonts w:hint="eastAsia" w:ascii="仿宋" w:hAnsi="仿宋" w:eastAsia="仿宋" w:cs="仿宋"/>
          <w:sz w:val="32"/>
          <w:szCs w:val="32"/>
          <w:lang w:eastAsia="zh-CN"/>
        </w:rPr>
        <w:t>。</w:t>
      </w:r>
    </w:p>
    <w:sectPr>
      <w:pgSz w:w="16837" w:h="11905" w:orient="landscape"/>
      <w:pgMar w:top="2154" w:right="1474" w:bottom="1701" w:left="1587"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72AE"/>
    <w:rsid w:val="00D5063D"/>
    <w:rsid w:val="02287C4A"/>
    <w:rsid w:val="0530582B"/>
    <w:rsid w:val="07FD6DF7"/>
    <w:rsid w:val="0A860802"/>
    <w:rsid w:val="0C0F3820"/>
    <w:rsid w:val="0DDA0360"/>
    <w:rsid w:val="1D354B25"/>
    <w:rsid w:val="22040192"/>
    <w:rsid w:val="22BA1ACB"/>
    <w:rsid w:val="26CD1C32"/>
    <w:rsid w:val="2A6428AE"/>
    <w:rsid w:val="2BD31A99"/>
    <w:rsid w:val="2C1B1E4A"/>
    <w:rsid w:val="2FA567C7"/>
    <w:rsid w:val="327D6D8D"/>
    <w:rsid w:val="35ED19A9"/>
    <w:rsid w:val="36774296"/>
    <w:rsid w:val="3CE33B06"/>
    <w:rsid w:val="40645D25"/>
    <w:rsid w:val="441B737C"/>
    <w:rsid w:val="457F4C6E"/>
    <w:rsid w:val="4D9D6A70"/>
    <w:rsid w:val="4DC4528E"/>
    <w:rsid w:val="4E603A85"/>
    <w:rsid w:val="51556929"/>
    <w:rsid w:val="51586419"/>
    <w:rsid w:val="57DF3471"/>
    <w:rsid w:val="58507E4A"/>
    <w:rsid w:val="59BF427E"/>
    <w:rsid w:val="60CE7B2A"/>
    <w:rsid w:val="6311467A"/>
    <w:rsid w:val="675C65FD"/>
    <w:rsid w:val="7B944E35"/>
    <w:rsid w:val="7C330FA4"/>
    <w:rsid w:val="BD77C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Arial" w:hAnsi="Arial" w:eastAsia="Arial" w:cs="Arial"/>
      <w:sz w:val="20"/>
      <w:szCs w:val="20"/>
      <w:lang w:val="en-U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99"/>
    <w:pPr>
      <w:widowControl w:val="0"/>
      <w:snapToGrid w:val="0"/>
      <w:jc w:val="left"/>
    </w:pPr>
    <w:rPr>
      <w:rFonts w:ascii="Calibri" w:hAnsi="Calibri" w:eastAsia="宋体" w:cs="Times New Roman"/>
      <w:kern w:val="2"/>
      <w:sz w:val="18"/>
      <w:szCs w:val="18"/>
      <w:lang w:val="en-US" w:eastAsia="zh-CN" w:bidi="ar-SA"/>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2021-11-09T02:10:00Z</dcterms:created>
  <dc:creator>Xu.</dc:creator>
  <cp:lastModifiedBy>administrator</cp:lastModifiedBy>
  <cp:lastPrinted>2021-11-12T14:44:00Z</cp:lastPrinted>
  <dcterms:modified xsi:type="dcterms:W3CDTF">2021-11-18T15:15:52Z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4ACC54557C374EE38EF1393D40D8FA16</vt:lpwstr>
  </property>
</Properties>
</file>