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253" w:type="dxa"/>
        <w:tblInd w:w="93" w:type="dxa"/>
        <w:tblLayout w:type="autofit"/>
        <w:tblCellMar>
          <w:top w:w="0" w:type="dxa"/>
          <w:left w:w="108" w:type="dxa"/>
          <w:bottom w:w="0" w:type="dxa"/>
          <w:right w:w="108" w:type="dxa"/>
        </w:tblCellMar>
      </w:tblPr>
      <w:tblGrid>
        <w:gridCol w:w="1152"/>
        <w:gridCol w:w="5436"/>
        <w:gridCol w:w="3496"/>
        <w:gridCol w:w="2689"/>
        <w:gridCol w:w="1480"/>
      </w:tblGrid>
      <w:tr>
        <w:tblPrEx>
          <w:tblCellMar>
            <w:top w:w="0" w:type="dxa"/>
            <w:left w:w="108" w:type="dxa"/>
            <w:bottom w:w="0" w:type="dxa"/>
            <w:right w:w="108" w:type="dxa"/>
          </w:tblCellMar>
        </w:tblPrEx>
        <w:trPr>
          <w:trHeight w:val="452" w:hRule="atLeast"/>
        </w:trPr>
        <w:tc>
          <w:tcPr>
            <w:tcW w:w="1152" w:type="dxa"/>
            <w:tcBorders>
              <w:top w:val="nil"/>
              <w:left w:val="nil"/>
              <w:bottom w:val="nil"/>
              <w:right w:val="nil"/>
            </w:tcBorders>
            <w:noWrap w:val="0"/>
            <w:vAlign w:val="center"/>
          </w:tcPr>
          <w:p>
            <w:pPr>
              <w:widowControl/>
              <w:jc w:val="center"/>
              <w:rPr>
                <w:rFonts w:hint="default" w:ascii="黑体" w:hAnsi="黑体" w:eastAsia="黑体" w:cs="宋体"/>
                <w:color w:val="000000"/>
                <w:kern w:val="0"/>
                <w:sz w:val="28"/>
                <w:szCs w:val="28"/>
                <w:lang w:val="en-US" w:eastAsia="zh-CN"/>
              </w:rPr>
            </w:pPr>
            <w:r>
              <w:rPr>
                <w:rFonts w:hint="eastAsia" w:ascii="黑体" w:hAnsi="黑体" w:eastAsia="黑体" w:cs="宋体"/>
                <w:color w:val="000000"/>
                <w:kern w:val="0"/>
                <w:sz w:val="28"/>
                <w:szCs w:val="28"/>
                <w:lang w:val="en-US" w:eastAsia="zh-CN"/>
              </w:rPr>
              <w:t>附件1</w:t>
            </w:r>
          </w:p>
        </w:tc>
        <w:tc>
          <w:tcPr>
            <w:tcW w:w="5436" w:type="dxa"/>
            <w:tcBorders>
              <w:top w:val="nil"/>
              <w:left w:val="nil"/>
              <w:bottom w:val="nil"/>
              <w:right w:val="nil"/>
            </w:tcBorders>
            <w:noWrap w:val="0"/>
            <w:vAlign w:val="center"/>
          </w:tcPr>
          <w:p>
            <w:pPr>
              <w:widowControl/>
              <w:jc w:val="left"/>
              <w:rPr>
                <w:rFonts w:ascii="宋体" w:hAnsi="宋体" w:cs="宋体"/>
                <w:color w:val="000000"/>
                <w:kern w:val="0"/>
                <w:sz w:val="24"/>
              </w:rPr>
            </w:pPr>
            <w:bookmarkStart w:id="0" w:name="_GoBack"/>
            <w:bookmarkEnd w:id="0"/>
          </w:p>
        </w:tc>
        <w:tc>
          <w:tcPr>
            <w:tcW w:w="3496" w:type="dxa"/>
            <w:tcBorders>
              <w:top w:val="nil"/>
              <w:left w:val="nil"/>
              <w:bottom w:val="nil"/>
              <w:right w:val="nil"/>
            </w:tcBorders>
            <w:noWrap w:val="0"/>
            <w:vAlign w:val="center"/>
          </w:tcPr>
          <w:p>
            <w:pPr>
              <w:widowControl/>
              <w:jc w:val="left"/>
              <w:rPr>
                <w:rFonts w:ascii="宋体" w:hAnsi="宋体" w:cs="宋体"/>
                <w:color w:val="000000"/>
                <w:kern w:val="0"/>
                <w:sz w:val="24"/>
              </w:rPr>
            </w:pPr>
          </w:p>
        </w:tc>
        <w:tc>
          <w:tcPr>
            <w:tcW w:w="2689" w:type="dxa"/>
            <w:tcBorders>
              <w:top w:val="nil"/>
              <w:left w:val="nil"/>
              <w:bottom w:val="nil"/>
              <w:right w:val="nil"/>
            </w:tcBorders>
            <w:noWrap w:val="0"/>
            <w:vAlign w:val="center"/>
          </w:tcPr>
          <w:p>
            <w:pPr>
              <w:widowControl/>
              <w:jc w:val="left"/>
              <w:rPr>
                <w:rFonts w:ascii="宋体" w:hAnsi="宋体" w:cs="宋体"/>
                <w:color w:val="000000"/>
                <w:kern w:val="0"/>
                <w:sz w:val="24"/>
              </w:rPr>
            </w:pPr>
          </w:p>
        </w:tc>
        <w:tc>
          <w:tcPr>
            <w:tcW w:w="1480" w:type="dxa"/>
            <w:tcBorders>
              <w:top w:val="nil"/>
              <w:left w:val="nil"/>
              <w:bottom w:val="nil"/>
              <w:right w:val="nil"/>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78" w:hRule="atLeast"/>
        </w:trPr>
        <w:tc>
          <w:tcPr>
            <w:tcW w:w="14253" w:type="dxa"/>
            <w:gridSpan w:val="5"/>
            <w:tcBorders>
              <w:top w:val="nil"/>
              <w:left w:val="nil"/>
              <w:bottom w:val="nil"/>
              <w:right w:val="nil"/>
            </w:tcBorders>
            <w:noWrap w:val="0"/>
            <w:vAlign w:val="center"/>
          </w:tcPr>
          <w:p>
            <w:pPr>
              <w:widowControl/>
              <w:jc w:val="both"/>
              <w:rPr>
                <w:rFonts w:hint="eastAsia" w:ascii="方正小标宋简体" w:hAnsi="宋体" w:eastAsia="方正小标宋简体" w:cs="宋体"/>
                <w:color w:val="000000"/>
                <w:kern w:val="0"/>
                <w:sz w:val="32"/>
                <w:szCs w:val="32"/>
              </w:rPr>
            </w:pPr>
          </w:p>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202</w:t>
            </w:r>
            <w:r>
              <w:rPr>
                <w:rFonts w:hint="eastAsia" w:ascii="方正小标宋简体" w:hAnsi="宋体" w:eastAsia="方正小标宋简体" w:cs="宋体"/>
                <w:color w:val="000000"/>
                <w:kern w:val="0"/>
                <w:sz w:val="44"/>
                <w:szCs w:val="44"/>
                <w:lang w:val="en-US" w:eastAsia="zh-CN"/>
              </w:rPr>
              <w:t>1</w:t>
            </w:r>
            <w:r>
              <w:rPr>
                <w:rFonts w:hint="eastAsia" w:ascii="方正小标宋简体" w:hAnsi="宋体" w:eastAsia="方正小标宋简体" w:cs="宋体"/>
                <w:color w:val="000000"/>
                <w:kern w:val="0"/>
                <w:sz w:val="44"/>
                <w:szCs w:val="44"/>
              </w:rPr>
              <w:t>年度封丘县科技计划项目立项名单</w:t>
            </w:r>
          </w:p>
        </w:tc>
      </w:tr>
      <w:tr>
        <w:tblPrEx>
          <w:tblCellMar>
            <w:top w:w="0" w:type="dxa"/>
            <w:left w:w="108" w:type="dxa"/>
            <w:bottom w:w="0" w:type="dxa"/>
            <w:right w:w="108" w:type="dxa"/>
          </w:tblCellMar>
        </w:tblPrEx>
        <w:trPr>
          <w:trHeight w:val="565" w:hRule="atLeast"/>
        </w:trPr>
        <w:tc>
          <w:tcPr>
            <w:tcW w:w="11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序号</w:t>
            </w:r>
          </w:p>
        </w:tc>
        <w:tc>
          <w:tcPr>
            <w:tcW w:w="54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项目名称</w:t>
            </w:r>
          </w:p>
        </w:tc>
        <w:tc>
          <w:tcPr>
            <w:tcW w:w="3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承担单位</w:t>
            </w:r>
          </w:p>
        </w:tc>
        <w:tc>
          <w:tcPr>
            <w:tcW w:w="26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项目类别</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项目领域</w:t>
            </w:r>
          </w:p>
        </w:tc>
      </w:tr>
      <w:tr>
        <w:tblPrEx>
          <w:tblCellMar>
            <w:top w:w="0" w:type="dxa"/>
            <w:left w:w="108" w:type="dxa"/>
            <w:bottom w:w="0" w:type="dxa"/>
            <w:right w:w="108" w:type="dxa"/>
          </w:tblCellMar>
        </w:tblPrEx>
        <w:trPr>
          <w:trHeight w:val="565" w:hRule="atLeast"/>
        </w:trPr>
        <w:tc>
          <w:tcPr>
            <w:tcW w:w="115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1</w:t>
            </w:r>
          </w:p>
        </w:tc>
        <w:tc>
          <w:tcPr>
            <w:tcW w:w="543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沥青路面裂缝高性能修复混合料的创新设计及相关技术的研究</w:t>
            </w:r>
          </w:p>
        </w:tc>
        <w:tc>
          <w:tcPr>
            <w:tcW w:w="349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新乡市通达公路新科技有限公司</w:t>
            </w:r>
          </w:p>
        </w:tc>
        <w:tc>
          <w:tcPr>
            <w:tcW w:w="268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科技攻关计划</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工 业</w:t>
            </w:r>
          </w:p>
        </w:tc>
      </w:tr>
      <w:tr>
        <w:tblPrEx>
          <w:tblCellMar>
            <w:top w:w="0" w:type="dxa"/>
            <w:left w:w="108" w:type="dxa"/>
            <w:bottom w:w="0" w:type="dxa"/>
            <w:right w:w="108" w:type="dxa"/>
          </w:tblCellMar>
        </w:tblPrEx>
        <w:trPr>
          <w:trHeight w:val="565" w:hRule="atLeast"/>
        </w:trPr>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2</w:t>
            </w:r>
          </w:p>
        </w:tc>
        <w:tc>
          <w:tcPr>
            <w:tcW w:w="5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剪叉式升降平台的液压提升系统的结构创新设计及优化布缸方式的研究</w:t>
            </w:r>
          </w:p>
        </w:tc>
        <w:tc>
          <w:tcPr>
            <w:tcW w:w="3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河南远东升降设备有限公司</w:t>
            </w:r>
          </w:p>
        </w:tc>
        <w:tc>
          <w:tcPr>
            <w:tcW w:w="268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科技攻关计划</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工 业</w:t>
            </w:r>
          </w:p>
        </w:tc>
      </w:tr>
      <w:tr>
        <w:tblPrEx>
          <w:tblCellMar>
            <w:top w:w="0" w:type="dxa"/>
            <w:left w:w="108" w:type="dxa"/>
            <w:bottom w:w="0" w:type="dxa"/>
            <w:right w:w="108" w:type="dxa"/>
          </w:tblCellMar>
        </w:tblPrEx>
        <w:trPr>
          <w:trHeight w:val="474" w:hRule="atLeast"/>
        </w:trPr>
        <w:tc>
          <w:tcPr>
            <w:tcW w:w="115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w:t>
            </w:r>
          </w:p>
        </w:tc>
        <w:tc>
          <w:tcPr>
            <w:tcW w:w="5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大跨度预应力主梁门式起重机的研究和产业化</w:t>
            </w:r>
          </w:p>
        </w:tc>
        <w:tc>
          <w:tcPr>
            <w:tcW w:w="3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 xml:space="preserve"> 河南中矿起重设备有限公司                                                                                                                                                                                                                                                                                                                                                                                                                                                                                                                                                                                                                                                                                                                                                                                                                                            </w:t>
            </w:r>
          </w:p>
        </w:tc>
        <w:tc>
          <w:tcPr>
            <w:tcW w:w="2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科技攻关计划</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工 业</w:t>
            </w:r>
          </w:p>
        </w:tc>
      </w:tr>
      <w:tr>
        <w:tblPrEx>
          <w:tblCellMar>
            <w:top w:w="0" w:type="dxa"/>
            <w:left w:w="108" w:type="dxa"/>
            <w:bottom w:w="0" w:type="dxa"/>
            <w:right w:w="108" w:type="dxa"/>
          </w:tblCellMar>
        </w:tblPrEx>
        <w:trPr>
          <w:trHeight w:val="565" w:hRule="atLeast"/>
        </w:trPr>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4</w:t>
            </w:r>
          </w:p>
        </w:tc>
        <w:tc>
          <w:tcPr>
            <w:tcW w:w="5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垃圾压缩转运处理技术及污染控制系统的研究与应用</w:t>
            </w:r>
          </w:p>
        </w:tc>
        <w:tc>
          <w:tcPr>
            <w:tcW w:w="3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河南永洁环卫设备有限公司</w:t>
            </w:r>
          </w:p>
        </w:tc>
        <w:tc>
          <w:tcPr>
            <w:tcW w:w="2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科技攻关计划</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工 业</w:t>
            </w:r>
          </w:p>
        </w:tc>
      </w:tr>
      <w:tr>
        <w:tblPrEx>
          <w:tblCellMar>
            <w:top w:w="0" w:type="dxa"/>
            <w:left w:w="108" w:type="dxa"/>
            <w:bottom w:w="0" w:type="dxa"/>
            <w:right w:w="108" w:type="dxa"/>
          </w:tblCellMar>
        </w:tblPrEx>
        <w:trPr>
          <w:trHeight w:val="565" w:hRule="atLeast"/>
        </w:trPr>
        <w:tc>
          <w:tcPr>
            <w:tcW w:w="115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5</w:t>
            </w:r>
          </w:p>
        </w:tc>
        <w:tc>
          <w:tcPr>
            <w:tcW w:w="5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煤矿支护中防冲吸能液压立柱结构的创新设计及相关技术的研究</w:t>
            </w:r>
          </w:p>
        </w:tc>
        <w:tc>
          <w:tcPr>
            <w:tcW w:w="3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河南省豫煤矿机有限公司</w:t>
            </w:r>
          </w:p>
        </w:tc>
        <w:tc>
          <w:tcPr>
            <w:tcW w:w="2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宋体"/>
                <w:color w:val="000000"/>
                <w:kern w:val="0"/>
                <w:sz w:val="22"/>
                <w:szCs w:val="22"/>
                <w:lang w:val="en-US"/>
              </w:rPr>
            </w:pPr>
            <w:r>
              <w:rPr>
                <w:rFonts w:hint="eastAsia" w:ascii="仿宋_GB2312" w:hAnsi="宋体" w:eastAsia="仿宋_GB2312" w:cs="仿宋_GB2312"/>
                <w:i w:val="0"/>
                <w:color w:val="000000"/>
                <w:kern w:val="0"/>
                <w:sz w:val="22"/>
                <w:szCs w:val="22"/>
                <w:u w:val="none"/>
                <w:lang w:val="en-US" w:eastAsia="zh-CN" w:bidi="ar"/>
              </w:rPr>
              <w:t xml:space="preserve">科技攻关计划   </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工 业</w:t>
            </w:r>
          </w:p>
        </w:tc>
      </w:tr>
      <w:tr>
        <w:tblPrEx>
          <w:tblCellMar>
            <w:top w:w="0" w:type="dxa"/>
            <w:left w:w="108" w:type="dxa"/>
            <w:bottom w:w="0" w:type="dxa"/>
            <w:right w:w="108" w:type="dxa"/>
          </w:tblCellMar>
        </w:tblPrEx>
        <w:trPr>
          <w:trHeight w:val="565" w:hRule="atLeast"/>
        </w:trPr>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6</w:t>
            </w:r>
          </w:p>
        </w:tc>
        <w:tc>
          <w:tcPr>
            <w:tcW w:w="5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阻燃耐高温增强聚丙烯（FRPP)静音排水管道的关键技术研究</w:t>
            </w:r>
          </w:p>
        </w:tc>
        <w:tc>
          <w:tcPr>
            <w:tcW w:w="3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河南中泽新材料股份有限公司</w:t>
            </w:r>
          </w:p>
        </w:tc>
        <w:tc>
          <w:tcPr>
            <w:tcW w:w="2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科技攻关计划</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工 业</w:t>
            </w:r>
          </w:p>
        </w:tc>
      </w:tr>
      <w:tr>
        <w:tblPrEx>
          <w:tblCellMar>
            <w:top w:w="0" w:type="dxa"/>
            <w:left w:w="108" w:type="dxa"/>
            <w:bottom w:w="0" w:type="dxa"/>
            <w:right w:w="108" w:type="dxa"/>
          </w:tblCellMar>
        </w:tblPrEx>
        <w:trPr>
          <w:trHeight w:val="565" w:hRule="atLeast"/>
        </w:trPr>
        <w:tc>
          <w:tcPr>
            <w:tcW w:w="115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7</w:t>
            </w:r>
          </w:p>
        </w:tc>
        <w:tc>
          <w:tcPr>
            <w:tcW w:w="5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电子汽车衡的限位缓冲减震装置的创新设计及相关技术的研究</w:t>
            </w:r>
          </w:p>
        </w:tc>
        <w:tc>
          <w:tcPr>
            <w:tcW w:w="3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河南力之鑫电子科技有限公司</w:t>
            </w:r>
          </w:p>
        </w:tc>
        <w:tc>
          <w:tcPr>
            <w:tcW w:w="2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科技攻关计划</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工 业</w:t>
            </w:r>
          </w:p>
        </w:tc>
      </w:tr>
      <w:tr>
        <w:tblPrEx>
          <w:tblCellMar>
            <w:top w:w="0" w:type="dxa"/>
            <w:left w:w="108" w:type="dxa"/>
            <w:bottom w:w="0" w:type="dxa"/>
            <w:right w:w="108" w:type="dxa"/>
          </w:tblCellMar>
        </w:tblPrEx>
        <w:trPr>
          <w:trHeight w:val="565" w:hRule="atLeast"/>
        </w:trPr>
        <w:tc>
          <w:tcPr>
            <w:tcW w:w="115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8</w:t>
            </w:r>
          </w:p>
        </w:tc>
        <w:tc>
          <w:tcPr>
            <w:tcW w:w="5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烘干一体式粮食输送机自动张紧结构的创新设计及相关技术的研究</w:t>
            </w:r>
          </w:p>
        </w:tc>
        <w:tc>
          <w:tcPr>
            <w:tcW w:w="3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封丘县豫封金属制品有限公司</w:t>
            </w:r>
          </w:p>
        </w:tc>
        <w:tc>
          <w:tcPr>
            <w:tcW w:w="2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科技攻关计划</w:t>
            </w:r>
          </w:p>
        </w:tc>
        <w:tc>
          <w:tcPr>
            <w:tcW w:w="1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rPr>
            </w:pPr>
            <w:r>
              <w:rPr>
                <w:rFonts w:hint="eastAsia" w:ascii="仿宋_GB2312" w:hAnsi="宋体" w:eastAsia="仿宋_GB2312" w:cs="仿宋_GB2312"/>
                <w:i w:val="0"/>
                <w:color w:val="000000"/>
                <w:kern w:val="0"/>
                <w:sz w:val="22"/>
                <w:szCs w:val="22"/>
                <w:u w:val="none"/>
                <w:lang w:val="en-US" w:eastAsia="zh-CN" w:bidi="ar"/>
              </w:rPr>
              <w:t>工 业</w:t>
            </w:r>
          </w:p>
        </w:tc>
      </w:tr>
    </w:tbl>
    <w:p/>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615F64"/>
    <w:rsid w:val="645C27C3"/>
    <w:rsid w:val="7F88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2022-10-25T08:30:34Z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F9471E71E9A04BD48D6C2C531F6DA73B</vt:lpwstr>
  </property>
</Properties>
</file>